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27 августа 2012 г. </w:t>
      </w:r>
      <w:r w:rsidR="00583EF1">
        <w:rPr>
          <w:sz w:val="20"/>
          <w:szCs w:val="20"/>
        </w:rPr>
        <w:t>№</w:t>
      </w:r>
      <w:r>
        <w:rPr>
          <w:sz w:val="20"/>
          <w:szCs w:val="20"/>
        </w:rPr>
        <w:t xml:space="preserve"> 546-р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об отделе по профилактике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правонарушений комитета по социальной политике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32602E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583EF1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</w:t>
      </w:r>
      <w:r w:rsidRPr="0032602E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по профилактике правонарушений комитета по социальной политике администрации городского округа "Город Калининград" (приложение).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583EF1" w:rsidRDefault="00583EF1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B66B3C" w:rsidRDefault="00B66B3C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27 августа 2012 г. </w:t>
      </w:r>
      <w:r w:rsidR="00583EF1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546-р</w:t>
      </w: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32602E" w:rsidRPr="00A84569" w:rsidRDefault="0032602E">
      <w:pPr>
        <w:spacing w:after="200" w:line="276" w:lineRule="auto"/>
        <w:ind w:firstLine="0"/>
        <w:jc w:val="left"/>
        <w:rPr>
          <w:rFonts w:eastAsiaTheme="minorEastAsia" w:cs="Times New Roman"/>
          <w:b/>
          <w:bCs/>
          <w:sz w:val="20"/>
          <w:szCs w:val="20"/>
          <w:lang w:eastAsia="ru-RU"/>
        </w:rPr>
      </w:pPr>
      <w:bookmarkStart w:id="1" w:name="Par29"/>
      <w:bookmarkEnd w:id="1"/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ПОЛОЖЕНИЕ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профилактике правонарушений комитета</w:t>
      </w:r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социальной политике администрации </w:t>
      </w:r>
      <w:proofErr w:type="gramStart"/>
      <w:r>
        <w:rPr>
          <w:sz w:val="20"/>
          <w:szCs w:val="20"/>
        </w:rPr>
        <w:t>городского</w:t>
      </w:r>
      <w:proofErr w:type="gramEnd"/>
    </w:p>
    <w:p w:rsidR="00B66B3C" w:rsidRDefault="00B66B3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"Город Калининград"</w:t>
      </w: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по профилактике правонарушений (далее - отдел) является структурным подразделением комитета по социальной политике администрации городского округа "Город Калининград" (далее - Комитет).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своей деятельности подчиняется председателю Комитета.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1.2. Отдел осуществляет функции по решению задач в области организации профилактики правонарушений на территории городского округа "Город Калининград".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proofErr w:type="gramStart"/>
      <w:r>
        <w:rPr>
          <w:rFonts w:cs="Times New Roman"/>
          <w:szCs w:val="28"/>
        </w:rPr>
        <w:t xml:space="preserve">Отдел в своей деятельности руководствуется </w:t>
      </w:r>
      <w:r w:rsidRPr="0032602E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32602E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правовыми актами главы городского округа "Город Калининград", правовыми</w:t>
      </w:r>
      <w:proofErr w:type="gramEnd"/>
      <w:r>
        <w:rPr>
          <w:rFonts w:cs="Times New Roman"/>
          <w:szCs w:val="28"/>
        </w:rPr>
        <w:t xml:space="preserve"> актами администрации городского округа "Город Калининград", </w:t>
      </w:r>
      <w:r w:rsidRPr="0032602E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городского округа "Город Калининград" и настоящим Положением.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proofErr w:type="gramStart"/>
      <w:r>
        <w:rPr>
          <w:rFonts w:cs="Times New Roman"/>
          <w:szCs w:val="28"/>
        </w:rPr>
        <w:t>Отдел осуществляет свою работу во взаимодействии со структурными подразделениями администрации городского округа, а также предприятиями, организациями, учреждениями, общественными объединениями (далее - субъекты профилактики), деятельность которых направлена на решение вопросов по профилактике правонарушений в совокупности организационных, правовых, экономических, социальных, демографических, воспитательных и иных мер по выявлению и устранению причин и условий совершения правонарушений или недопущению правонарушений.</w:t>
      </w:r>
      <w:proofErr w:type="gramEnd"/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2.1. Организация и осуществление полномочий администрации городского округа "Город Калининград" в сфере профилактики правонарушений на территории городского округа "Город Калининград" (далее - городской округ) в соответствии с законодательством.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Координация деятельности органов и учреждений системы профилактики по предупреждению, выявлению и устранению причин и условий, способствующих совершению правонарушений, по снижению уровня преступности на территории городского округа.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Оказание информационно-методической и практической помощи субъектам профилактики в вопросах, входящих в компетенцию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Содействие несовершеннолетним в реализации и защите прав и охраняемых законом интересов во всех сферах жизнедеятельности.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Проведение комплексного анализа состояния профилактики правонарушений в городском округе с последующей выработкой необходимых рекомендаций и внесения в адрес председателя Комитета предложений по повышению ее эффективности.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Выявление причин и условий, способствующих совершению правонарушений, и определение приоритетных направлений, целей и задач профилактики правонарушений с учетом складывающейся </w:t>
      </w:r>
      <w:proofErr w:type="gramStart"/>
      <w:r>
        <w:rPr>
          <w:rFonts w:cs="Times New Roman"/>
          <w:szCs w:val="28"/>
        </w:rPr>
        <w:t>криминогенной обстановки</w:t>
      </w:r>
      <w:proofErr w:type="gramEnd"/>
      <w:r>
        <w:rPr>
          <w:rFonts w:cs="Times New Roman"/>
          <w:szCs w:val="28"/>
        </w:rPr>
        <w:t xml:space="preserve"> в городе.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Организация и координация деятельности органов и учреждений системы профилактики безнадзорности и правонарушений несовершеннолетних на территории городского округа.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3.4. Подготовка предложений в планы работы субъектов профилактики, разработка комплексных мероприятий по профилактике правонарушений (акции, операции)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выполнением.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Осуществление правовой пропаганды посредством организации выездного консультирования в учреждениях, взаимодействие со средствами массовой информации.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Профилактика асоциальных явлений в сфере деятельности коммерческих и некоммерческих организаций (общественных и религиозных организаций (объединений), фондов, ассоциаций и союзов).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Экспертиза и анализ эффективности целевых программ, разрабатываемых и действующих на территории городского округа в сфере профилактики безнадзорности, алкоголизма, наркомании и правонарушений несовершеннолетних, реабилитации неблагополучных семей.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Организация деятельности межведомственной комиссии по профилактике правонарушений при администрации городского округа "Город Калининград".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Организация деятельности экспертной комиссии городского округа по оценке предложений об определении мест на территории городского округа, где нахождение детей не допускается, общественных мест, в которых </w:t>
      </w:r>
      <w:r>
        <w:rPr>
          <w:rFonts w:cs="Times New Roman"/>
          <w:szCs w:val="28"/>
        </w:rPr>
        <w:lastRenderedPageBreak/>
        <w:t>в ночное время не допускается нахождение детей без сопровождения.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Организация деятельности комиссии по делам несовершеннолетних и защите их прав.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Подготовка аналитических материалов о безнадзорности среди несовершеннолетних, правонарушениях и преступлениях, совершенных несовершеннолетними, о неблагополучных семьях, проживающих на территории городского округа.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Обобщение и распространение положительного опыта работы учреждений по внедрению практических мер по сдерживанию роста правонарушений и асоциальных явлений в детской и подростковой среде.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Осуществление мер по защите и восстановлению прав и законных интересов несовершеннолетних, устранению причин и условий, способствующих безнадзорности, правонарушениям и антиобщественным действиям несовершеннолетних.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Оказание помощи в трудовом и бытовом устройстве несовершеннолетним, освобожденным из учреждений уголовно-исполнительной системы либо вернувшимся из специальных учебно-воспитательных учреждений, оказание содействия в определении форм устройства несовершеннолетних, нуждающихся в помощи государства.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Подготовка совместно с соответствующими органами и учреждениями материалов, предоставляемых в суд по вопросам, связанным с помещением и содержанием несовершеннолетних в специализированных учебно-воспитательных учреждениях закрытого типа.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Ведение учета отдельных категорий несовершеннолетних в рамках деятельности комиссии по делам несовершеннолетних и защите их прав: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несовершеннолетних, имеющих родителей или лиц, их заменяющих, которые не обеспечивают надлежащие условия для воспитания детей;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подростков, оставивших школу и не работающих, а также несовершеннолетних, нуждающихся в государственной и общественной помощи, и принятие мер к их устройству;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 лиц, вернувшихся из специальных учебно-воспитательных учреждений закрытого типа, из мест исполнения наказаний в виде лишения свободы;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несовершеннолетних, освобожденных от уголовной ответственности вследствие отставания в психическом развитии, не связанного с психическим расстройством;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 лиц, освобожденных из воспитательных колоний;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несовершеннолетних, употребляющих спиртные напитки и наркотические вещества.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Подготовка комиссией по делам несовершеннолетних и защите их прав обращений в суд за защитой прав и законных интересов несовершеннолетних, участие в рассмотрении судами гражданских и уголовных дел в отношении несовершеннолетних.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3.18. Ведение административного производства в пределах полномочий, предоставленных федеральными и муниципальными правовыми актами; подготовка представлений в органы и учреждения системы профилактики правонарушений об устранении причин и условий, способствующих совершению административных правонарушений.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3.19.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постановлений комиссии по делам несовершеннолетних и защите их прав государственными и общественными организациями, предприятиями, учреждениями и должностными лицами.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Разработка методических рекомендаций (брошюр, буклетов) для органов и учреждений системы профилактики правонарушений, по улучшению профилактической работы среди родителей (законных представителей) и подростков.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Участие в мероприятиях по профилактике терроризма и экстремизма с уполномоченными органами в пределах компетенции.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Информирование председателя Комитета о состоянии профилактической работы.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Предоставление в областную комиссию по делам несовершеннолетних и защите их прав информации, связанной с выполнением органами местного самоуправления отдельных государственных полномочий.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Координировать работу органов и учреждений системы профилактики правонарушений городского округа "Город Калининград" по вопросам, входящим в его компетенцию.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 городского округа "Город Калининград" и районных администраций, от муниципальных предприятий, учреждений, организаций, а также органов и учреждений системы профилактики правонарушений.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в установленном порядке для осуществления своих функций специалистов структурных подразделений администрации городского округа "Город Калининград".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</w:t>
      </w:r>
      <w:proofErr w:type="gramStart"/>
      <w:r>
        <w:rPr>
          <w:rFonts w:cs="Times New Roman"/>
          <w:szCs w:val="28"/>
        </w:rPr>
        <w:t>Ставить перед соответствующими органами в соответствии с действующим законодательством вопрос о привлечении к ответственности должностных лиц, государственных и муниципальных служащих, граждан в случае невыполнения ими постановлений и непринятия мер во исполнение представлений комиссии по делам несовершеннолетних и защите их прав по устранению нарушений законов в отношении детей и подростков, ущемлению их прав, свобод и законных интересов.</w:t>
      </w:r>
      <w:proofErr w:type="gramEnd"/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4.5. Беспрепятственно входить на территории и в помещения коммерческих и некоммерческих организаций, чья деятельность связана с </w:t>
      </w:r>
      <w:r>
        <w:rPr>
          <w:rFonts w:cs="Times New Roman"/>
          <w:szCs w:val="28"/>
        </w:rPr>
        <w:lastRenderedPageBreak/>
        <w:t>несовершеннолетними, и непосредственно знакомиться с условиями содержания, воспитания, обращения с несовершеннолетними, с соблюдением их прав и интересов.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Вносить на рассмотрение председателя Комитета вопросы защиты прав и законных интересов несовершеннолетних.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Применять меры воздействия в отношении несовершеннолетних, их родителей (законных представителей) в случаях и порядке, предусмотренных действующим законодательством.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Проводить семинары, совещания, конференции, "круглые столы" по вопросам деятельности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4.9. Планировать командировки сотрудников отдела в установленном порядке.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4.10. Использовать переданные администрации городского округа "Город Калининград" финансовые и материальные средства в целях исполнения отдельных государственных полномочий.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4.11. Использовать информационные ресурсы, находящиеся в муниципальной собственности.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4.12. Участвовать в разработке и реализации целевых городских программ, связанных с решением проблем, отнесенных к компетенции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4.13. Готовить в пределах своей компетенции проекты правовых актов администрации городского округа "Город Калининград" по проблемам профилактики правонарушений.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4.14. Вносить предложения по совершенствованию форм и методов работы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4.15. Пользоваться в установленном порядке информационными банками данных структурных подразделений администрации.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4.16. Взаимодействовать с правоохранительными органами, общественными объединениями, способствующими правоохранительной деятельности, с организациями, предприятиями и учреждениями, гражданами по организации межведомственных мероприятий.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4.17. Участвовать в разработке и реализации областных целевых программ по вопросам охраны правопорядка и профилактике правонарушений.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деятельностью отдела.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5.3. Начальник отдела назначается на должность и освобождается от должности распоряжением администрации городского округа "Город </w:t>
      </w:r>
      <w:r>
        <w:rPr>
          <w:rFonts w:cs="Times New Roman"/>
          <w:szCs w:val="28"/>
        </w:rPr>
        <w:lastRenderedPageBreak/>
        <w:t>Калининград" по представлению председателя Комитета.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B3C" w:rsidRDefault="00B66B3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2602E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2602E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городского округа "Город Калининград", настоящего Положения.</w:t>
      </w:r>
    </w:p>
    <w:p w:rsidR="00B66B3C" w:rsidRDefault="00B66B3C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bookmarkEnd w:id="0"/>
    <w:p w:rsidR="00B66B3C" w:rsidRDefault="00B66B3C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sectPr w:rsidR="00B66B3C" w:rsidSect="00AA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3C"/>
    <w:rsid w:val="00077C39"/>
    <w:rsid w:val="00194981"/>
    <w:rsid w:val="0032602E"/>
    <w:rsid w:val="003C19EA"/>
    <w:rsid w:val="00583EF1"/>
    <w:rsid w:val="00A84569"/>
    <w:rsid w:val="00B66B3C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66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66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2012-10-25T11:44:00Z</dcterms:created>
  <dcterms:modified xsi:type="dcterms:W3CDTF">2012-11-09T12:51:00Z</dcterms:modified>
</cp:coreProperties>
</file>