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88" w:rsidRPr="00867688" w:rsidRDefault="00867688" w:rsidP="00867688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ПОЛОЖЕНИЕ </w:t>
      </w:r>
      <w:r w:rsidRPr="0086768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867688" w:rsidRPr="00867688" w:rsidRDefault="00867688" w:rsidP="00867688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«О ЕЖЕГОДНОЙ ПРЕМИИ ГЛАВЫ ГОРОДСКОГО ОКРУГА «ГОРОД КАЛИНИНГРАД» «ВДОХНОВЕНИЕ»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I.ОБЩИЕ ПОЛОЖЕНИЯ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>1.1. Премия главы городского округа «Город Калининград» «Вдохновение» является ежегодной и присуждается за создание, исполнение высокохудожест</w:t>
      </w:r>
      <w:r w:rsidR="008E2FD9">
        <w:rPr>
          <w:rFonts w:ascii="Arial" w:eastAsia="Times New Roman" w:hAnsi="Arial" w:cs="Arial"/>
          <w:sz w:val="20"/>
          <w:szCs w:val="20"/>
          <w:lang w:eastAsia="ru-RU"/>
        </w:rPr>
        <w:t>венных произведений литературно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- поэтического, музыкального, театрального, изобразительного и декоративно-прикладного искусства, телепрограмм и передач, журналистских работ по проблемам культуры и искусства, получивших общественное признание, а также большой личный вклад в </w:t>
      </w:r>
      <w:proofErr w:type="gram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начальную профессиональную</w:t>
      </w:r>
      <w:proofErr w:type="gram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 подготовку и обучение подрастающего поколения в области искусства.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1.2. Премия присуждается в целях стимулирования творческой деятельности, популяризации и развития культуры и искусства.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1.3. Премия присуждается по трем номинациям: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14"/>
          <w:szCs w:val="14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8E2FD9">
        <w:rPr>
          <w:rFonts w:ascii="Arial" w:eastAsia="Times New Roman" w:hAnsi="Arial" w:cs="Arial"/>
          <w:sz w:val="20"/>
          <w:szCs w:val="20"/>
          <w:lang w:eastAsia="ru-RU"/>
        </w:rPr>
        <w:t>литературно–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поэтическое искусство, телепрограммы и передачи, журналистские работы по проблемам культуры и искусства;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14"/>
          <w:szCs w:val="14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музыкальное, театральное искусство, а также большой личный вклад в начальную профессиональную подготовку и обучение подрастающего поколения в области искусства;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14"/>
          <w:szCs w:val="14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изобразительное и декоративно-прикладное искусство.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1.4. Ежегодно присуждается три премии (по числу заявленных номинаций) в размере 70000 рублей (с учетом начислений) каждая. Выплата премий производится за счет средств, предусмотренных в бюджете городского округа «Город Калининград» по отрасли «Культура».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Одновременно с премией лауреатам вручается диплом главы городского округа «Город Калининград».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1.5. Решение о присуждении премий принимается распоряжением главы городского округа «Город Калининград» на основании решения комиссии по присуждению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II. УСЛОВИЯ ВЫДВИЖЕНИЯ СОИСКАТЕЛЕЙ НА ПРЕМИЮ ГЛАВЫ ГОРОДСКОГО ОКРУГА «ГОРОД КАЛИНИНГРАД» «ВДОХНОВЕНИЕ»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2.1. На соискание премий могут быть </w:t>
      </w:r>
      <w:proofErr w:type="gram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выдвинуты</w:t>
      </w:r>
      <w:proofErr w:type="gram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отдельные авторы, исполнители, авторские и творческие коллективы, получившие признание общественности и высокую оценку деятелей культуры и искусства, представителей учреждений культуры и искусства, общественных организаций и объединений в области культуры и искусства, отзывы и рецензии в средствах массовой информации;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педагоги и педагогические коллективы, учащиеся которых неоднократно удостаивались званий лауреатов престижных международных, российских, региональных и др. конкурсов.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2.2. На соискание премии выдвигаются произведения, достижения, работы отдельных авторов, исполнителей и творческих коллективов, созданные и представленные общественности за один год, предшествующий присуждению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2.3. Право выдвижения на присуждение премии имеют учреждения культуры, творческие коллективы и юридические лица </w:t>
      </w:r>
      <w:proofErr w:type="gram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. Калининграда.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Соискатели премии и организации, их выдвигающие, самостоятельно решают вопрос по организации ознакомительных просмотров членами комиссии работ, выдвигаемых на соискание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Организация ознакомительных просмотров работ, выдвигаемых на соискание премии, является обязательной.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Время и место просмотра работ согласовываются соискателями с секретарем комиссии по присуждению премии и доводятся до сведения членов комиссии.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2.4. Рассмотрение поступивших на соискание работ, документов и материалов, отбор и подведение итогов осуществляет комиссия по присуждению премии. Список соискателей определяется комиссией по присуждению премии после изучения представленных документов и оформляется отдельным решением (протоколом).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2.5. Председатель, </w:t>
      </w:r>
      <w:proofErr w:type="gram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секретарь</w:t>
      </w:r>
      <w:proofErr w:type="gram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 и члены комиссии по присуждению премии назначаются главой городского округа «Город Калининград» по представлению управления культуры администрации городского округа «Город Калининград».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Комиссия по присуждению премии состоит из 15 человек. Состав комиссии ежегодно обновляется на 1/3.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2.6. Комиссия по присуждению премии при необходимости вправе привлекать отдельных экспертов для оценки работ, выдвинутых на премию. Эксперты должны соответствовать следующим критериям: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   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иметь профессиональное образование в сфере культуры и искусства;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   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иметь государственные, профессиональные награды или почетные звания за достижения в области своей профессиональной деятельности.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Члены комиссии не выдвигаются на соискание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2.7. На соискание премии представляются следующие документы: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ходатайство о выдвижении на премию (в свободной форме);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аннотация, рецензия на представленную работу;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материалы с отзывами прессы и специалистов.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2.8. Предложения по выдвижению соискателей премии главы городского округа «Город Калининград» «Вдохновение» направляются в письменном виде на имя комиссии по присуждению премии до 16.00 час. 01 июня </w:t>
      </w:r>
      <w:r w:rsidR="005E408A">
        <w:rPr>
          <w:rFonts w:ascii="Arial" w:eastAsia="Times New Roman" w:hAnsi="Arial" w:cs="Arial"/>
          <w:sz w:val="20"/>
          <w:szCs w:val="20"/>
          <w:lang w:eastAsia="ru-RU"/>
        </w:rPr>
        <w:t>т.г.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 236000, г. Калининград, пр. Мира 98, (2 </w:t>
      </w:r>
      <w:proofErr w:type="spell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эт</w:t>
      </w:r>
      <w:proofErr w:type="spell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.), </w:t>
      </w:r>
      <w:proofErr w:type="spellStart"/>
      <w:r w:rsidRPr="00867688">
        <w:rPr>
          <w:rFonts w:ascii="Arial" w:eastAsia="Times New Roman" w:hAnsi="Arial" w:cs="Arial"/>
          <w:sz w:val="20"/>
          <w:szCs w:val="20"/>
          <w:lang w:eastAsia="ru-RU"/>
        </w:rPr>
        <w:t>каб</w:t>
      </w:r>
      <w:proofErr w:type="spellEnd"/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. 5 Управление культуры, тел.: 923-963, 923-979.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2.9. Председатель комиссии по присуждению премии утверждает Регламент и проводит заседания комиссии по присуждению премии, представляет решение комиссии на утверждение главе городского округа «Город Калининград».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2.10. Секретарь комиссии по присуждению премии: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ведет предварительный прием и регистрацию представленных документов;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по согласованию с председателем комиссии по присуждению премии секретарь осуществляет подготовку заседаний, проведение церемонии вручения премии;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Symbol" w:eastAsia="Times New Roman" w:hAnsi="Symbol" w:cs="Tahoma"/>
          <w:sz w:val="20"/>
          <w:szCs w:val="20"/>
          <w:lang w:eastAsia="ru-RU"/>
        </w:rPr>
        <w:t></w:t>
      </w:r>
      <w:r w:rsidRPr="0086768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организует публикации в средствах массовой информации: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а) объявление о начале приема документов на соискание премии;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б) список соискателей премии;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в) список лауреатов премии;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г) информацию о дате, времени и месте вручения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III. ИТОГИ КОНКУРСА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3.1. Комиссия по присуждению премии выбирает не более 1 победителя – лауреата премии в каждой номинации, независимо от общего количества соискателей.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3.2. Решение о присуждении премии принимается большинством голосов при тайном голосовании, но не менее 50% от установленного состава комиссии по присуждению премии.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комиссии по присуждению премии имеет право решающего голоса при равенстве голосов.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 xml:space="preserve">3.3. В случае если лауреатом премии становится творческий коллектив, денежное вознаграждение перечисляется на его расчетный счет или расчетный счет учреждения по месту нахождения (регистрации) творческого коллектива. </w:t>
      </w:r>
    </w:p>
    <w:p w:rsidR="00867688" w:rsidRPr="00867688" w:rsidRDefault="00867688" w:rsidP="00867688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14"/>
          <w:szCs w:val="14"/>
          <w:lang w:eastAsia="ru-RU"/>
        </w:rPr>
      </w:pPr>
      <w:r w:rsidRPr="00867688">
        <w:rPr>
          <w:rFonts w:ascii="Arial" w:eastAsia="Times New Roman" w:hAnsi="Arial" w:cs="Arial"/>
          <w:sz w:val="20"/>
          <w:szCs w:val="20"/>
          <w:lang w:eastAsia="ru-RU"/>
        </w:rPr>
        <w:t>3.4. Премии и дипломы вручаются в период проведения праздника «День города».  </w:t>
      </w:r>
    </w:p>
    <w:p w:rsidR="00867688" w:rsidRPr="00867688" w:rsidRDefault="003A792D" w:rsidP="00867688">
      <w:pPr>
        <w:rPr>
          <w:rFonts w:ascii="Tahoma" w:eastAsia="Times New Roman" w:hAnsi="Tahoma" w:cs="Tahoma"/>
          <w:sz w:val="14"/>
          <w:szCs w:val="14"/>
          <w:lang w:eastAsia="ru-RU"/>
        </w:rPr>
      </w:pPr>
      <w:r w:rsidRPr="003A792D">
        <w:rPr>
          <w:rFonts w:ascii="Tahoma" w:eastAsia="Times New Roman" w:hAnsi="Tahoma" w:cs="Tahoma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D962CF" w:rsidRDefault="00D962CF"/>
    <w:sectPr w:rsidR="00D962CF" w:rsidSect="00D9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867688"/>
    <w:rsid w:val="000B7A69"/>
    <w:rsid w:val="001E3FEA"/>
    <w:rsid w:val="00222C19"/>
    <w:rsid w:val="002C1AC1"/>
    <w:rsid w:val="0038117B"/>
    <w:rsid w:val="003A792D"/>
    <w:rsid w:val="003E36FA"/>
    <w:rsid w:val="005449C1"/>
    <w:rsid w:val="005E408A"/>
    <w:rsid w:val="00867688"/>
    <w:rsid w:val="008E2FD9"/>
    <w:rsid w:val="009C1C63"/>
    <w:rsid w:val="009D2EE6"/>
    <w:rsid w:val="00A45393"/>
    <w:rsid w:val="00C14BF7"/>
    <w:rsid w:val="00D962CF"/>
    <w:rsid w:val="00E4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39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63"/>
    <w:pPr>
      <w:ind w:left="0"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Хилько</cp:lastModifiedBy>
  <cp:revision>4</cp:revision>
  <dcterms:created xsi:type="dcterms:W3CDTF">2013-02-01T06:58:00Z</dcterms:created>
  <dcterms:modified xsi:type="dcterms:W3CDTF">2013-04-12T08:03:00Z</dcterms:modified>
</cp:coreProperties>
</file>