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331AE958" w:rsidR="00E811EC" w:rsidRPr="00CD7C62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CD7C62" w:rsidRPr="00CD7C62">
        <w:rPr>
          <w:color w:val="000000"/>
          <w:szCs w:val="24"/>
        </w:rPr>
        <w:t xml:space="preserve">ул. </w:t>
      </w:r>
      <w:r w:rsidR="00DF1832">
        <w:rPr>
          <w:color w:val="000000"/>
          <w:szCs w:val="24"/>
        </w:rPr>
        <w:t>Эпроновская</w:t>
      </w:r>
      <w:r w:rsidR="00CD7C62" w:rsidRPr="00CD7C62">
        <w:rPr>
          <w:color w:val="000000"/>
          <w:szCs w:val="24"/>
        </w:rPr>
        <w:t>, д</w:t>
      </w:r>
      <w:r w:rsidR="0015573C">
        <w:rPr>
          <w:color w:val="000000"/>
          <w:szCs w:val="24"/>
        </w:rPr>
        <w:t>.</w:t>
      </w:r>
      <w:r w:rsidR="00CD7C62" w:rsidRPr="00CD7C62">
        <w:rPr>
          <w:color w:val="000000"/>
          <w:szCs w:val="24"/>
        </w:rPr>
        <w:t xml:space="preserve"> </w:t>
      </w:r>
      <w:r w:rsidR="00DF1832">
        <w:rPr>
          <w:color w:val="000000"/>
          <w:szCs w:val="24"/>
        </w:rPr>
        <w:t>21</w:t>
      </w:r>
      <w:r w:rsidR="00E92896" w:rsidRPr="00CD7C62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04FD4A77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</w:t>
            </w:r>
            <w:r w:rsidR="00DF1832">
              <w:rPr>
                <w:rFonts w:cs="Times New Roman"/>
                <w:szCs w:val="24"/>
              </w:rPr>
              <w:t>8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DF1832" w:rsidRPr="00CD7C62">
              <w:rPr>
                <w:color w:val="000000"/>
                <w:szCs w:val="24"/>
              </w:rPr>
              <w:t xml:space="preserve">ул. </w:t>
            </w:r>
            <w:r w:rsidR="00DF1832">
              <w:rPr>
                <w:color w:val="000000"/>
                <w:szCs w:val="24"/>
              </w:rPr>
              <w:t>Эпроновская</w:t>
            </w:r>
            <w:r w:rsidR="00DF1832" w:rsidRPr="00CD7C62">
              <w:rPr>
                <w:color w:val="000000"/>
                <w:szCs w:val="24"/>
              </w:rPr>
              <w:t>, д</w:t>
            </w:r>
            <w:r w:rsidR="00DF1832">
              <w:rPr>
                <w:color w:val="000000"/>
                <w:szCs w:val="24"/>
              </w:rPr>
              <w:t>.</w:t>
            </w:r>
            <w:r w:rsidR="00DF1832" w:rsidRPr="00CD7C62">
              <w:rPr>
                <w:color w:val="000000"/>
                <w:szCs w:val="24"/>
              </w:rPr>
              <w:t xml:space="preserve"> </w:t>
            </w:r>
            <w:r w:rsidR="00DF1832">
              <w:rPr>
                <w:color w:val="000000"/>
                <w:szCs w:val="24"/>
              </w:rPr>
              <w:t>21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1D245C9C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7A3652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DF1832" w:rsidRPr="00CD7C62">
              <w:t xml:space="preserve">ул. </w:t>
            </w:r>
            <w:r w:rsidR="00DF1832">
              <w:t>Эпроновская</w:t>
            </w:r>
            <w:r w:rsidR="00DF1832" w:rsidRPr="00CD7C62">
              <w:t>, д</w:t>
            </w:r>
            <w:r w:rsidR="00DF1832">
              <w:t>.</w:t>
            </w:r>
            <w:r w:rsidR="00DF1832" w:rsidRPr="00CD7C62">
              <w:t xml:space="preserve"> </w:t>
            </w:r>
            <w:r w:rsidR="00DF1832">
              <w:t>21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5B9F47A4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>
              <w:t xml:space="preserve">, расположенное по адресу г. Калининград, </w:t>
            </w:r>
            <w:r w:rsidR="00DF1832" w:rsidRPr="00CD7C62">
              <w:t xml:space="preserve">ул. </w:t>
            </w:r>
            <w:r w:rsidR="00DF1832">
              <w:t>Эпроновская</w:t>
            </w:r>
            <w:r w:rsidR="00DF1832" w:rsidRPr="00CD7C62">
              <w:t>, д</w:t>
            </w:r>
            <w:r w:rsidR="00DF1832">
              <w:t>.</w:t>
            </w:r>
            <w:r w:rsidR="00DF1832" w:rsidRPr="00CD7C62">
              <w:t xml:space="preserve"> </w:t>
            </w:r>
            <w:r w:rsidR="00DF1832">
              <w:t>21</w:t>
            </w:r>
            <w:r w:rsidR="007A3652" w:rsidRPr="00CD7C62">
              <w:t>, пом. лит. I</w:t>
            </w:r>
            <w:r w:rsidR="00DF1832">
              <w:rPr>
                <w:lang w:val="en-US"/>
              </w:rPr>
              <w:t>I</w:t>
            </w:r>
            <w:r w:rsidR="007A3652" w:rsidRPr="00CD7C62">
              <w:t xml:space="preserve"> из лит. А</w:t>
            </w:r>
            <w:r w:rsidR="00DB3DC6">
              <w:t xml:space="preserve">, </w:t>
            </w:r>
            <w:r>
              <w:t xml:space="preserve">кадастровый номер </w:t>
            </w:r>
            <w:r w:rsidR="007A3652" w:rsidRPr="007A3652">
              <w:t>39:15:1404</w:t>
            </w:r>
            <w:r w:rsidR="00DF1832">
              <w:rPr>
                <w:lang w:val="en-US"/>
              </w:rPr>
              <w:t>05</w:t>
            </w:r>
            <w:r w:rsidR="007A3652" w:rsidRPr="007A3652">
              <w:t>:</w:t>
            </w:r>
            <w:r w:rsidR="00DF1832">
              <w:rPr>
                <w:lang w:val="en-US"/>
              </w:rPr>
              <w:t>39</w:t>
            </w:r>
            <w:r>
              <w:t xml:space="preserve">, общей площадью </w:t>
            </w:r>
            <w:r w:rsidR="00DF1832">
              <w:rPr>
                <w:lang w:val="en-US"/>
              </w:rPr>
              <w:t>1</w:t>
            </w:r>
            <w:r w:rsidR="00DF1832">
              <w:t>0,1</w:t>
            </w:r>
            <w:r w:rsidR="007A3652">
              <w:t xml:space="preserve"> </w:t>
            </w:r>
            <w:r>
              <w:t>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05CC2BAE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DF1832">
              <w:rPr>
                <w:rFonts w:cs="Times New Roman"/>
                <w:bCs/>
                <w:iCs/>
                <w:szCs w:val="24"/>
              </w:rPr>
              <w:t>1 348 350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</w:t>
            </w:r>
            <w:r w:rsidR="00DF1832">
              <w:rPr>
                <w:rFonts w:cs="Times New Roman"/>
                <w:szCs w:val="24"/>
              </w:rPr>
              <w:t>6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0E8FE2C1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DF1832">
              <w:rPr>
                <w:rFonts w:cs="Times New Roman"/>
                <w:szCs w:val="24"/>
              </w:rPr>
              <w:t>67 417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DF1832">
              <w:rPr>
                <w:rFonts w:cs="Times New Roman"/>
                <w:szCs w:val="24"/>
              </w:rPr>
              <w:t>50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3AFD65F1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DF1832">
              <w:rPr>
                <w:rFonts w:cs="Times New Roman"/>
                <w:color w:val="000000" w:themeColor="text1"/>
                <w:szCs w:val="24"/>
              </w:rPr>
              <w:t>134 835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AAFCA94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D6E19D2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7B68DF7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1D47FA7D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717FFFFC" w:rsidR="007B6BEF" w:rsidRPr="009D581C" w:rsidRDefault="00DC2EA7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</w:t>
            </w:r>
            <w:r w:rsidRPr="009D581C">
              <w:rPr>
                <w:rFonts w:cs="Times New Roman"/>
                <w:szCs w:val="24"/>
              </w:rPr>
              <w:lastRenderedPageBreak/>
              <w:t>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9D581C">
              <w:rPr>
                <w:rFonts w:cs="Times New Roman"/>
                <w:szCs w:val="24"/>
              </w:rPr>
              <w:lastRenderedPageBreak/>
              <w:t>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lastRenderedPageBreak/>
              <w:t>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2643B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5573C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5066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1279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58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3652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D7C62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832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5852</TotalTime>
  <Pages>24</Pages>
  <Words>9410</Words>
  <Characters>53643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686</cp:revision>
  <cp:lastPrinted>2024-11-07T12:36:00Z</cp:lastPrinted>
  <dcterms:created xsi:type="dcterms:W3CDTF">2021-11-19T14:55:00Z</dcterms:created>
  <dcterms:modified xsi:type="dcterms:W3CDTF">2024-11-07T13:16:00Z</dcterms:modified>
</cp:coreProperties>
</file>