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09443A04" w:rsidR="00E811EC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здание, расположенное по адресу г. Калининград, </w:t>
      </w:r>
      <w:r w:rsidR="00AB4A1D">
        <w:rPr>
          <w:rFonts w:cs="Times New Roman"/>
          <w:color w:val="000000"/>
          <w:szCs w:val="24"/>
        </w:rPr>
        <w:br/>
      </w:r>
      <w:r w:rsidR="00AB4A1D" w:rsidRPr="00AB4A1D">
        <w:rPr>
          <w:rFonts w:cs="Times New Roman"/>
          <w:color w:val="000000"/>
          <w:szCs w:val="24"/>
        </w:rPr>
        <w:t>п. Прегольский, д. 28</w:t>
      </w:r>
      <w:r w:rsidR="00E9289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0CFF4855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9082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>г. Калининград, п. Прегольский, д. 28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0065B5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0065B5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1C363AB1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здание,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Pr="006F2B1C">
              <w:rPr>
                <w:rFonts w:eastAsiaTheme="minorHAnsi"/>
              </w:rPr>
              <w:t>п. Прегольский, д. 28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7618B1E9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здание, расположенное по адресу г. Калининград, п. Прегольский, д. 28 кадастровый номер 39:15:111811:215, общей площадью 143,7 кв.</w:t>
            </w:r>
            <w:r w:rsidR="00EF48EF">
              <w:t xml:space="preserve"> </w:t>
            </w:r>
            <w:r>
              <w:t>м, земельный участок на котором оно расположено с кадастровым номером 39:15:111811:205, общей площадью 1205 кв.м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6D411A41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6F2B1C">
              <w:rPr>
                <w:rFonts w:cs="Times New Roman"/>
                <w:bCs/>
                <w:iCs/>
                <w:szCs w:val="24"/>
              </w:rPr>
              <w:t>9 956</w:t>
            </w:r>
            <w:r w:rsidR="00E92896" w:rsidRPr="00E92896">
              <w:rPr>
                <w:rFonts w:cs="Times New Roman"/>
                <w:bCs/>
                <w:iCs/>
                <w:szCs w:val="24"/>
              </w:rPr>
              <w:t xml:space="preserve"> 0</w:t>
            </w:r>
            <w:r w:rsidR="006F2B1C">
              <w:rPr>
                <w:rFonts w:cs="Times New Roman"/>
                <w:bCs/>
                <w:iCs/>
                <w:szCs w:val="24"/>
              </w:rPr>
              <w:t>1</w:t>
            </w:r>
            <w:r w:rsidR="00E92896" w:rsidRPr="00E92896">
              <w:rPr>
                <w:rFonts w:cs="Times New Roman"/>
                <w:bCs/>
                <w:iCs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 xml:space="preserve"> рублей 00 копеек,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A5335E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418/11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AD616CF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6F2B1C">
              <w:rPr>
                <w:rFonts w:cs="Times New Roman"/>
                <w:szCs w:val="24"/>
              </w:rPr>
              <w:t>497 800</w:t>
            </w:r>
            <w:r w:rsidRPr="009D581C">
              <w:rPr>
                <w:rFonts w:cs="Times New Roman"/>
                <w:szCs w:val="24"/>
              </w:rPr>
              <w:t xml:space="preserve"> рублей </w:t>
            </w:r>
            <w:r w:rsidR="006F2B1C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>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</w:t>
            </w:r>
            <w:r w:rsidRPr="009D581C">
              <w:rPr>
                <w:iCs/>
              </w:rPr>
              <w:lastRenderedPageBreak/>
              <w:t>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7DA7B453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6F2B1C">
              <w:rPr>
                <w:rFonts w:cs="Times New Roman"/>
                <w:color w:val="000000" w:themeColor="text1"/>
                <w:szCs w:val="24"/>
              </w:rPr>
              <w:t>995 601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53ABCD" w:rsidR="006D7BE5" w:rsidRPr="009D581C" w:rsidRDefault="00CB5824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DBF8F25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0B85FD22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D947E86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4F55F860" w:rsidR="007B6BEF" w:rsidRPr="009D581C" w:rsidRDefault="009A344C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</w:t>
            </w:r>
            <w:r w:rsidRPr="009D581C">
              <w:rPr>
                <w:rFonts w:cs="Times New Roman"/>
                <w:szCs w:val="24"/>
              </w:rPr>
              <w:lastRenderedPageBreak/>
              <w:t>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</w:t>
            </w:r>
            <w:r w:rsidRPr="009D581C">
              <w:rPr>
                <w:rFonts w:cs="Times New Roman"/>
                <w:szCs w:val="24"/>
              </w:rPr>
              <w:lastRenderedPageBreak/>
              <w:t>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472AB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335E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5797</TotalTime>
  <Pages>24</Pages>
  <Words>9423</Words>
  <Characters>53717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673</cp:revision>
  <cp:lastPrinted>2024-11-05T13:58:00Z</cp:lastPrinted>
  <dcterms:created xsi:type="dcterms:W3CDTF">2021-11-19T14:55:00Z</dcterms:created>
  <dcterms:modified xsi:type="dcterms:W3CDTF">2024-11-06T10:00:00Z</dcterms:modified>
</cp:coreProperties>
</file>