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F4" w:rsidRDefault="00E618A7" w:rsidP="000172C1">
      <w:pPr>
        <w:overflowPunct/>
        <w:textAlignment w:val="auto"/>
        <w:rPr>
          <w:rFonts w:eastAsia="Calibri"/>
          <w:sz w:val="24"/>
          <w:szCs w:val="24"/>
          <w:lang w:eastAsia="en-US"/>
        </w:rPr>
      </w:pPr>
      <w:r>
        <w:rPr>
          <w:rFonts w:eastAsia="Calibri"/>
          <w:sz w:val="24"/>
          <w:szCs w:val="24"/>
          <w:lang w:eastAsia="en-US"/>
        </w:rPr>
        <w:t>Генеральный д</w:t>
      </w:r>
      <w:r w:rsidR="00222851">
        <w:rPr>
          <w:rFonts w:eastAsia="Calibri"/>
          <w:sz w:val="24"/>
          <w:szCs w:val="24"/>
          <w:lang w:eastAsia="en-US"/>
        </w:rPr>
        <w:t>иректор</w:t>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ED6FF4">
        <w:rPr>
          <w:rFonts w:eastAsia="Calibri"/>
          <w:sz w:val="24"/>
          <w:szCs w:val="24"/>
          <w:lang w:eastAsia="en-US"/>
        </w:rPr>
        <w:t>Генеральный директор</w:t>
      </w:r>
    </w:p>
    <w:p w:rsidR="001D4481" w:rsidRDefault="001D4C24" w:rsidP="000172C1">
      <w:pPr>
        <w:overflowPunct/>
        <w:textAlignment w:val="auto"/>
        <w:rPr>
          <w:rFonts w:eastAsia="Calibri"/>
          <w:sz w:val="24"/>
          <w:szCs w:val="24"/>
          <w:lang w:eastAsia="en-US"/>
        </w:rPr>
      </w:pPr>
      <w:r>
        <w:rPr>
          <w:rFonts w:eastAsia="Calibri"/>
          <w:sz w:val="24"/>
          <w:szCs w:val="24"/>
          <w:lang w:eastAsia="en-US"/>
        </w:rPr>
        <w:t>ООО «</w:t>
      </w:r>
      <w:r w:rsidR="00ED6FF4">
        <w:rPr>
          <w:rFonts w:eastAsia="Calibri"/>
          <w:sz w:val="24"/>
          <w:szCs w:val="24"/>
          <w:lang w:eastAsia="en-US"/>
        </w:rPr>
        <w:t>ЖЭК №17</w:t>
      </w:r>
      <w:r>
        <w:rPr>
          <w:rFonts w:eastAsia="Calibri"/>
          <w:sz w:val="24"/>
          <w:szCs w:val="24"/>
          <w:lang w:eastAsia="en-US"/>
        </w:rPr>
        <w:t>»</w:t>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ED6FF4">
        <w:rPr>
          <w:rFonts w:eastAsia="Calibri"/>
          <w:sz w:val="24"/>
          <w:szCs w:val="24"/>
          <w:lang w:eastAsia="en-US"/>
        </w:rPr>
        <w:t>ООО «</w:t>
      </w:r>
      <w:r w:rsidR="00C50350">
        <w:rPr>
          <w:rFonts w:eastAsia="Calibri"/>
          <w:sz w:val="24"/>
          <w:szCs w:val="24"/>
          <w:lang w:eastAsia="en-US"/>
        </w:rPr>
        <w:t>Управляющая компания</w:t>
      </w:r>
      <w:r w:rsidR="00ED6FF4">
        <w:rPr>
          <w:rFonts w:eastAsia="Calibri"/>
          <w:sz w:val="24"/>
          <w:szCs w:val="24"/>
          <w:lang w:eastAsia="en-US"/>
        </w:rPr>
        <w:t xml:space="preserve"> ТСЖ»</w:t>
      </w:r>
    </w:p>
    <w:p w:rsidR="00C50350" w:rsidRDefault="00C50350" w:rsidP="000172C1">
      <w:pPr>
        <w:overflowPunct/>
        <w:textAlignment w:val="auto"/>
        <w:rPr>
          <w:rFonts w:eastAsia="Calibri"/>
          <w:sz w:val="24"/>
          <w:szCs w:val="24"/>
          <w:lang w:eastAsia="en-US"/>
        </w:rPr>
      </w:pPr>
    </w:p>
    <w:p w:rsidR="00375B5B" w:rsidRDefault="00C50350" w:rsidP="000172C1">
      <w:pPr>
        <w:overflowPunct/>
        <w:textAlignment w:val="auto"/>
        <w:rPr>
          <w:rFonts w:eastAsia="Calibri"/>
          <w:sz w:val="24"/>
          <w:szCs w:val="24"/>
          <w:lang w:eastAsia="en-US"/>
        </w:rPr>
      </w:pPr>
      <w:r>
        <w:rPr>
          <w:rFonts w:eastAsia="Calibri"/>
          <w:sz w:val="24"/>
          <w:szCs w:val="24"/>
          <w:lang w:eastAsia="en-US"/>
        </w:rPr>
        <w:t>/_________________/</w:t>
      </w:r>
      <w:r w:rsidR="00ED6FF4">
        <w:rPr>
          <w:rFonts w:eastAsia="Calibri"/>
          <w:sz w:val="24"/>
          <w:szCs w:val="24"/>
          <w:lang w:eastAsia="en-US"/>
        </w:rPr>
        <w:t xml:space="preserve"> И.А. Макарова</w:t>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/_________________/ А.В. </w:t>
      </w:r>
      <w:proofErr w:type="spellStart"/>
      <w:r w:rsidR="00ED6FF4">
        <w:rPr>
          <w:rFonts w:eastAsia="Calibri"/>
          <w:sz w:val="24"/>
          <w:szCs w:val="24"/>
          <w:lang w:eastAsia="en-US"/>
        </w:rPr>
        <w:t>Юриненок</w:t>
      </w:r>
      <w:proofErr w:type="spellEnd"/>
      <w:r w:rsidR="0019223B">
        <w:rPr>
          <w:rFonts w:eastAsia="Calibri"/>
          <w:sz w:val="24"/>
          <w:szCs w:val="24"/>
          <w:lang w:eastAsia="en-US"/>
        </w:rPr>
        <w:t xml:space="preserve"> </w:t>
      </w:r>
    </w:p>
    <w:p w:rsidR="001C5084" w:rsidRDefault="00612335" w:rsidP="000172C1">
      <w:pPr>
        <w:overflowPunct/>
        <w:textAlignment w:val="auto"/>
        <w:rPr>
          <w:rFonts w:eastAsia="Calibri"/>
          <w:sz w:val="24"/>
          <w:szCs w:val="24"/>
          <w:lang w:eastAsia="en-US"/>
        </w:rPr>
      </w:pPr>
      <w:r>
        <w:rPr>
          <w:rFonts w:eastAsia="Calibri"/>
          <w:sz w:val="24"/>
          <w:szCs w:val="24"/>
          <w:lang w:eastAsia="en-US"/>
        </w:rPr>
        <w:t>«</w:t>
      </w:r>
      <w:r w:rsidR="0019223B">
        <w:rPr>
          <w:rFonts w:eastAsia="Calibri"/>
          <w:sz w:val="24"/>
          <w:szCs w:val="24"/>
          <w:lang w:eastAsia="en-US"/>
        </w:rPr>
        <w:t xml:space="preserve"> </w:t>
      </w:r>
      <w:r w:rsidR="00A1017C">
        <w:rPr>
          <w:rFonts w:eastAsia="Calibri"/>
          <w:sz w:val="24"/>
          <w:szCs w:val="24"/>
          <w:lang w:eastAsia="en-US"/>
        </w:rPr>
        <w:t>1</w:t>
      </w:r>
      <w:r w:rsidR="00C50350">
        <w:rPr>
          <w:rFonts w:eastAsia="Calibri"/>
          <w:sz w:val="24"/>
          <w:szCs w:val="24"/>
          <w:lang w:eastAsia="en-US"/>
        </w:rPr>
        <w:t>4</w:t>
      </w:r>
      <w:r w:rsidR="0019223B">
        <w:rPr>
          <w:rFonts w:eastAsia="Calibri"/>
          <w:sz w:val="24"/>
          <w:szCs w:val="24"/>
          <w:lang w:eastAsia="en-US"/>
        </w:rPr>
        <w:t xml:space="preserve"> </w:t>
      </w:r>
      <w:r>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ноября</w:t>
      </w:r>
      <w:r w:rsidR="002973BA">
        <w:rPr>
          <w:rFonts w:eastAsia="Calibri"/>
          <w:sz w:val="24"/>
          <w:szCs w:val="24"/>
          <w:lang w:eastAsia="en-US"/>
        </w:rPr>
        <w:t xml:space="preserve"> </w:t>
      </w:r>
      <w:r>
        <w:rPr>
          <w:rFonts w:eastAsia="Calibri"/>
          <w:sz w:val="24"/>
          <w:szCs w:val="24"/>
          <w:lang w:eastAsia="en-US"/>
        </w:rPr>
        <w:t xml:space="preserve"> 2019</w:t>
      </w:r>
      <w:r w:rsidR="00C50350">
        <w:rPr>
          <w:rFonts w:eastAsia="Calibri"/>
          <w:sz w:val="24"/>
          <w:szCs w:val="24"/>
          <w:lang w:eastAsia="en-US"/>
        </w:rPr>
        <w:t xml:space="preserve"> </w:t>
      </w:r>
      <w:r>
        <w:rPr>
          <w:rFonts w:eastAsia="Calibri"/>
          <w:sz w:val="24"/>
          <w:szCs w:val="24"/>
          <w:lang w:eastAsia="en-US"/>
        </w:rPr>
        <w:t>г.</w:t>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C50350">
        <w:rPr>
          <w:rFonts w:eastAsia="Calibri"/>
          <w:sz w:val="24"/>
          <w:szCs w:val="24"/>
          <w:lang w:eastAsia="en-US"/>
        </w:rPr>
        <w:tab/>
      </w:r>
      <w:r w:rsidR="009907C6">
        <w:rPr>
          <w:rFonts w:eastAsia="Calibri"/>
          <w:sz w:val="24"/>
          <w:szCs w:val="24"/>
          <w:lang w:eastAsia="en-US"/>
        </w:rPr>
        <w:t>« 1</w:t>
      </w:r>
      <w:r w:rsidR="00C50350">
        <w:rPr>
          <w:rFonts w:eastAsia="Calibri"/>
          <w:sz w:val="24"/>
          <w:szCs w:val="24"/>
          <w:lang w:eastAsia="en-US"/>
        </w:rPr>
        <w:t>4</w:t>
      </w:r>
      <w:r w:rsidR="009907C6">
        <w:rPr>
          <w:rFonts w:eastAsia="Calibri"/>
          <w:sz w:val="24"/>
          <w:szCs w:val="24"/>
          <w:lang w:eastAsia="en-US"/>
        </w:rPr>
        <w:t xml:space="preserve"> »  ноября  2019г.</w:t>
      </w:r>
      <w:r>
        <w:rPr>
          <w:rFonts w:eastAsia="Calibri"/>
          <w:sz w:val="24"/>
          <w:szCs w:val="24"/>
          <w:lang w:eastAsia="en-US"/>
        </w:rPr>
        <w:t xml:space="preserve"> </w:t>
      </w:r>
    </w:p>
    <w:p w:rsidR="001068E9" w:rsidRDefault="001068E9" w:rsidP="009200A9">
      <w:pPr>
        <w:overflowPunct/>
        <w:textAlignment w:val="auto"/>
        <w:rPr>
          <w:rFonts w:eastAsia="Calibri"/>
          <w:sz w:val="24"/>
          <w:szCs w:val="24"/>
          <w:lang w:eastAsia="en-US"/>
        </w:rPr>
      </w:pPr>
    </w:p>
    <w:p w:rsidR="00794934" w:rsidRDefault="00794934"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r w:rsidR="00794934">
        <w:rPr>
          <w:rFonts w:eastAsia="Calibri"/>
          <w:sz w:val="24"/>
          <w:szCs w:val="24"/>
          <w:lang w:eastAsia="en-US"/>
        </w:rPr>
        <w:t xml:space="preserve"> </w:t>
      </w: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794934">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794934">
        <w:rPr>
          <w:rFonts w:eastAsia="Calibri"/>
          <w:sz w:val="24"/>
          <w:szCs w:val="24"/>
          <w:lang w:eastAsia="en-US"/>
        </w:rPr>
        <w:t xml:space="preserve"> </w:t>
      </w: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FC3AE8">
        <w:rPr>
          <w:rFonts w:eastAsia="Calibri"/>
          <w:sz w:val="24"/>
          <w:szCs w:val="24"/>
          <w:lang w:eastAsia="en-US"/>
        </w:rPr>
        <w:t xml:space="preserve"> 2-х</w:t>
      </w:r>
      <w:r w:rsidRPr="003F5739">
        <w:rPr>
          <w:rFonts w:eastAsia="Calibri"/>
          <w:sz w:val="24"/>
          <w:szCs w:val="24"/>
          <w:lang w:eastAsia="en-US"/>
        </w:rPr>
        <w:t xml:space="preserve"> договор</w:t>
      </w:r>
      <w:r w:rsidR="00FC3AE8">
        <w:rPr>
          <w:rFonts w:eastAsia="Calibri"/>
          <w:sz w:val="24"/>
          <w:szCs w:val="24"/>
          <w:lang w:eastAsia="en-US"/>
        </w:rPr>
        <w:t>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794934">
        <w:rPr>
          <w:rFonts w:eastAsia="Calibri"/>
          <w:sz w:val="24"/>
          <w:szCs w:val="24"/>
          <w:lang w:eastAsia="en-US"/>
        </w:rPr>
        <w:t>г. Калининград,</w:t>
      </w:r>
      <w:r w:rsidR="006731DF" w:rsidRPr="006731DF">
        <w:rPr>
          <w:rFonts w:eastAsia="Calibri"/>
          <w:sz w:val="24"/>
          <w:szCs w:val="24"/>
          <w:lang w:eastAsia="en-US"/>
        </w:rPr>
        <w:t xml:space="preserve"> </w:t>
      </w:r>
      <w:r w:rsidR="006B27D7" w:rsidRPr="006B27D7">
        <w:rPr>
          <w:rFonts w:eastAsia="Calibri"/>
          <w:sz w:val="24"/>
          <w:szCs w:val="24"/>
          <w:lang w:eastAsia="en-US"/>
        </w:rPr>
        <w:t xml:space="preserve">ул. </w:t>
      </w:r>
      <w:proofErr w:type="spellStart"/>
      <w:r w:rsidR="006B27D7" w:rsidRPr="006B27D7">
        <w:rPr>
          <w:rFonts w:eastAsia="Calibri"/>
          <w:sz w:val="24"/>
          <w:szCs w:val="24"/>
          <w:lang w:eastAsia="en-US"/>
        </w:rPr>
        <w:t>Карташева</w:t>
      </w:r>
      <w:proofErr w:type="spellEnd"/>
      <w:r w:rsidR="006B27D7" w:rsidRPr="006B27D7">
        <w:rPr>
          <w:rFonts w:eastAsia="Calibri"/>
          <w:sz w:val="24"/>
          <w:szCs w:val="24"/>
          <w:lang w:eastAsia="en-US"/>
        </w:rPr>
        <w:t xml:space="preserve"> д.30а-30г</w:t>
      </w:r>
      <w:r w:rsidR="006B27D7">
        <w:rPr>
          <w:rFonts w:eastAsia="Calibri"/>
          <w:sz w:val="24"/>
          <w:szCs w:val="24"/>
          <w:lang w:eastAsia="en-US"/>
        </w:rPr>
        <w:t xml:space="preserve">; </w:t>
      </w:r>
      <w:r w:rsidR="006B27D7" w:rsidRPr="006B27D7">
        <w:rPr>
          <w:rFonts w:eastAsia="Calibri"/>
          <w:sz w:val="24"/>
          <w:szCs w:val="24"/>
          <w:lang w:eastAsia="en-US"/>
        </w:rPr>
        <w:t>д.32-34</w:t>
      </w:r>
    </w:p>
    <w:p w:rsidR="00DA521F" w:rsidRPr="00A730A4" w:rsidRDefault="006A11DF" w:rsidP="00DA521F">
      <w:pPr>
        <w:jc w:val="both"/>
        <w:rPr>
          <w:sz w:val="24"/>
          <w:szCs w:val="24"/>
        </w:rPr>
      </w:pPr>
      <w:r w:rsidRPr="00A730A4">
        <w:rPr>
          <w:sz w:val="24"/>
          <w:szCs w:val="24"/>
        </w:rPr>
        <w:t>1.2.</w:t>
      </w:r>
      <w:r w:rsidR="00AF0D64" w:rsidRPr="00A730A4">
        <w:rPr>
          <w:sz w:val="24"/>
          <w:szCs w:val="24"/>
        </w:rPr>
        <w:t>1</w:t>
      </w:r>
      <w:r w:rsidRPr="00A730A4">
        <w:rPr>
          <w:sz w:val="24"/>
          <w:szCs w:val="24"/>
        </w:rPr>
        <w:t xml:space="preserve"> </w:t>
      </w:r>
      <w:r w:rsidR="00DA521F" w:rsidRPr="00A730A4">
        <w:rPr>
          <w:sz w:val="24"/>
          <w:szCs w:val="24"/>
        </w:rPr>
        <w:t>Заказчиком договора подряда№ 1 является: ООО «</w:t>
      </w:r>
      <w:r w:rsidR="00F269BD" w:rsidRPr="00A730A4">
        <w:rPr>
          <w:sz w:val="24"/>
          <w:szCs w:val="24"/>
        </w:rPr>
        <w:t>Управляющая компания ТСЖ</w:t>
      </w:r>
      <w:r w:rsidR="00DA521F" w:rsidRPr="00A730A4">
        <w:rPr>
          <w:sz w:val="24"/>
          <w:szCs w:val="24"/>
        </w:rPr>
        <w:t xml:space="preserve">», адрес производства работ МКД по </w:t>
      </w:r>
      <w:proofErr w:type="spellStart"/>
      <w:r w:rsidR="00F269BD" w:rsidRPr="00A730A4">
        <w:rPr>
          <w:sz w:val="24"/>
          <w:szCs w:val="24"/>
        </w:rPr>
        <w:t>Карташева</w:t>
      </w:r>
      <w:proofErr w:type="spellEnd"/>
      <w:r w:rsidR="00F269BD" w:rsidRPr="00A730A4">
        <w:rPr>
          <w:sz w:val="24"/>
          <w:szCs w:val="24"/>
        </w:rPr>
        <w:t xml:space="preserve"> д.30а-30г</w:t>
      </w:r>
    </w:p>
    <w:p w:rsidR="00DA521F" w:rsidRPr="00DA521F" w:rsidRDefault="00DA521F" w:rsidP="00DA521F">
      <w:pPr>
        <w:jc w:val="both"/>
        <w:rPr>
          <w:sz w:val="24"/>
          <w:szCs w:val="24"/>
        </w:rPr>
      </w:pPr>
      <w:proofErr w:type="gramStart"/>
      <w:r w:rsidRPr="00DA521F">
        <w:rPr>
          <w:sz w:val="24"/>
          <w:szCs w:val="24"/>
        </w:rPr>
        <w:t>Юридический адрес: 236</w:t>
      </w:r>
      <w:r w:rsidR="00F269BD">
        <w:rPr>
          <w:sz w:val="24"/>
          <w:szCs w:val="24"/>
        </w:rPr>
        <w:t>023</w:t>
      </w:r>
      <w:r w:rsidRPr="00DA521F">
        <w:rPr>
          <w:sz w:val="24"/>
          <w:szCs w:val="24"/>
        </w:rPr>
        <w:t xml:space="preserve">, г. Калининград, ул. </w:t>
      </w:r>
      <w:r w:rsidR="00F269BD">
        <w:rPr>
          <w:sz w:val="24"/>
          <w:szCs w:val="24"/>
        </w:rPr>
        <w:t>Комсомольская</w:t>
      </w:r>
      <w:r w:rsidRPr="00DA521F">
        <w:rPr>
          <w:sz w:val="24"/>
          <w:szCs w:val="24"/>
        </w:rPr>
        <w:t>, д.1</w:t>
      </w:r>
      <w:r w:rsidR="00F269BD">
        <w:rPr>
          <w:sz w:val="24"/>
          <w:szCs w:val="24"/>
        </w:rPr>
        <w:t>03, кв. 44</w:t>
      </w:r>
      <w:r w:rsidRPr="00DA521F">
        <w:rPr>
          <w:sz w:val="24"/>
          <w:szCs w:val="24"/>
        </w:rPr>
        <w:t>.</w:t>
      </w:r>
      <w:proofErr w:type="gramEnd"/>
      <w:r w:rsidR="00794934">
        <w:rPr>
          <w:sz w:val="24"/>
          <w:szCs w:val="24"/>
        </w:rPr>
        <w:t xml:space="preserve"> </w:t>
      </w:r>
      <w:r w:rsidRPr="00DA521F">
        <w:rPr>
          <w:sz w:val="24"/>
          <w:szCs w:val="24"/>
        </w:rPr>
        <w:t xml:space="preserve">ИНН </w:t>
      </w:r>
      <w:r w:rsidR="00D007F4">
        <w:rPr>
          <w:sz w:val="24"/>
          <w:szCs w:val="24"/>
        </w:rPr>
        <w:t>3906317813</w:t>
      </w:r>
      <w:r w:rsidRPr="00DA521F">
        <w:rPr>
          <w:sz w:val="24"/>
          <w:szCs w:val="24"/>
        </w:rPr>
        <w:t xml:space="preserve">, КПП </w:t>
      </w:r>
      <w:r w:rsidR="00D007F4">
        <w:rPr>
          <w:sz w:val="24"/>
          <w:szCs w:val="24"/>
        </w:rPr>
        <w:t>390601001</w:t>
      </w:r>
      <w:r w:rsidRPr="00DA521F">
        <w:rPr>
          <w:sz w:val="24"/>
          <w:szCs w:val="24"/>
        </w:rPr>
        <w:t xml:space="preserve">, ОГРН </w:t>
      </w:r>
      <w:r w:rsidR="00D007F4">
        <w:rPr>
          <w:sz w:val="24"/>
          <w:szCs w:val="24"/>
        </w:rPr>
        <w:t>1143926006597</w:t>
      </w:r>
      <w:r w:rsidR="00794934">
        <w:rPr>
          <w:sz w:val="24"/>
          <w:szCs w:val="24"/>
        </w:rPr>
        <w:t xml:space="preserve">; </w:t>
      </w:r>
      <w:r w:rsidR="00CF3994">
        <w:rPr>
          <w:sz w:val="24"/>
          <w:szCs w:val="24"/>
        </w:rPr>
        <w:t>Г</w:t>
      </w:r>
      <w:r w:rsidR="00CF3994" w:rsidRPr="00DA521F">
        <w:rPr>
          <w:sz w:val="24"/>
          <w:szCs w:val="24"/>
        </w:rPr>
        <w:t>енеральный директор</w:t>
      </w:r>
      <w:r w:rsidR="00CF3994">
        <w:rPr>
          <w:sz w:val="24"/>
          <w:szCs w:val="24"/>
        </w:rPr>
        <w:t>:</w:t>
      </w:r>
      <w:r w:rsidR="00CF3994" w:rsidRPr="00DA521F">
        <w:rPr>
          <w:sz w:val="24"/>
          <w:szCs w:val="24"/>
        </w:rPr>
        <w:t xml:space="preserve"> </w:t>
      </w:r>
      <w:proofErr w:type="spellStart"/>
      <w:r w:rsidR="00CF3994">
        <w:rPr>
          <w:sz w:val="24"/>
          <w:szCs w:val="24"/>
        </w:rPr>
        <w:t>Юриненок</w:t>
      </w:r>
      <w:proofErr w:type="spellEnd"/>
      <w:r w:rsidR="00CF3994">
        <w:rPr>
          <w:sz w:val="24"/>
          <w:szCs w:val="24"/>
        </w:rPr>
        <w:t xml:space="preserve"> Александр Владимирович</w:t>
      </w:r>
      <w:r w:rsidR="00794934">
        <w:rPr>
          <w:sz w:val="24"/>
          <w:szCs w:val="24"/>
        </w:rPr>
        <w:t xml:space="preserve">; </w:t>
      </w:r>
      <w:r w:rsidRPr="00DA521F">
        <w:rPr>
          <w:sz w:val="24"/>
          <w:szCs w:val="24"/>
        </w:rPr>
        <w:t>Фактический адрес: 23600</w:t>
      </w:r>
      <w:r w:rsidR="00360AD2">
        <w:rPr>
          <w:sz w:val="24"/>
          <w:szCs w:val="24"/>
        </w:rPr>
        <w:t>0</w:t>
      </w:r>
      <w:r w:rsidRPr="00DA521F">
        <w:rPr>
          <w:sz w:val="24"/>
          <w:szCs w:val="24"/>
        </w:rPr>
        <w:t xml:space="preserve">, г. Калининград, ул. </w:t>
      </w:r>
      <w:proofErr w:type="spellStart"/>
      <w:r w:rsidR="00D007F4">
        <w:rPr>
          <w:sz w:val="24"/>
          <w:szCs w:val="24"/>
        </w:rPr>
        <w:t>Яналова</w:t>
      </w:r>
      <w:proofErr w:type="spellEnd"/>
      <w:r w:rsidRPr="00DA521F">
        <w:rPr>
          <w:sz w:val="24"/>
          <w:szCs w:val="24"/>
        </w:rPr>
        <w:t>, д.</w:t>
      </w:r>
      <w:r w:rsidR="00D007F4">
        <w:rPr>
          <w:sz w:val="24"/>
          <w:szCs w:val="24"/>
        </w:rPr>
        <w:t>42</w:t>
      </w:r>
      <w:r w:rsidRPr="00DA521F">
        <w:rPr>
          <w:sz w:val="24"/>
          <w:szCs w:val="24"/>
        </w:rPr>
        <w:t xml:space="preserve"> </w:t>
      </w:r>
    </w:p>
    <w:p w:rsidR="00851A31" w:rsidRPr="00A730A4" w:rsidRDefault="00AF0D64" w:rsidP="00851A31">
      <w:pPr>
        <w:jc w:val="both"/>
        <w:rPr>
          <w:sz w:val="24"/>
          <w:szCs w:val="24"/>
        </w:rPr>
      </w:pPr>
      <w:r w:rsidRPr="00A730A4">
        <w:rPr>
          <w:sz w:val="24"/>
          <w:szCs w:val="24"/>
        </w:rPr>
        <w:t xml:space="preserve">1.2.2 </w:t>
      </w:r>
      <w:r w:rsidR="00851A31" w:rsidRPr="00A730A4">
        <w:rPr>
          <w:sz w:val="24"/>
          <w:szCs w:val="24"/>
        </w:rPr>
        <w:t xml:space="preserve">Заказчиком договора подряда№ </w:t>
      </w:r>
      <w:r w:rsidR="00BB6DF2" w:rsidRPr="00A730A4">
        <w:rPr>
          <w:sz w:val="24"/>
          <w:szCs w:val="24"/>
        </w:rPr>
        <w:t>2</w:t>
      </w:r>
      <w:r w:rsidR="00851A31" w:rsidRPr="00A730A4">
        <w:rPr>
          <w:sz w:val="24"/>
          <w:szCs w:val="24"/>
        </w:rPr>
        <w:t xml:space="preserve"> является: </w:t>
      </w:r>
      <w:r w:rsidR="000A1685" w:rsidRPr="00A730A4">
        <w:rPr>
          <w:sz w:val="24"/>
          <w:szCs w:val="24"/>
        </w:rPr>
        <w:t>ООО «ЖЭК №17</w:t>
      </w:r>
      <w:r w:rsidR="00851A31" w:rsidRPr="00A730A4">
        <w:rPr>
          <w:sz w:val="24"/>
          <w:szCs w:val="24"/>
        </w:rPr>
        <w:t xml:space="preserve">, адрес производства работ МКД по ул. </w:t>
      </w:r>
      <w:proofErr w:type="spellStart"/>
      <w:r w:rsidR="000A1685" w:rsidRPr="00A730A4">
        <w:rPr>
          <w:sz w:val="24"/>
          <w:szCs w:val="24"/>
        </w:rPr>
        <w:t>Карташева</w:t>
      </w:r>
      <w:proofErr w:type="spellEnd"/>
      <w:r w:rsidR="000A1685" w:rsidRPr="00A730A4">
        <w:rPr>
          <w:sz w:val="24"/>
          <w:szCs w:val="24"/>
        </w:rPr>
        <w:t xml:space="preserve"> д.30а-30г</w:t>
      </w:r>
    </w:p>
    <w:p w:rsidR="00851A31" w:rsidRPr="00851A31" w:rsidRDefault="00851A31" w:rsidP="00851A31">
      <w:pPr>
        <w:jc w:val="both"/>
        <w:rPr>
          <w:sz w:val="24"/>
          <w:szCs w:val="24"/>
        </w:rPr>
      </w:pPr>
      <w:r w:rsidRPr="00851A31">
        <w:rPr>
          <w:sz w:val="24"/>
          <w:szCs w:val="24"/>
        </w:rPr>
        <w:t>Юридический адрес: 2360</w:t>
      </w:r>
      <w:r w:rsidR="00360AD2">
        <w:rPr>
          <w:sz w:val="24"/>
          <w:szCs w:val="24"/>
        </w:rPr>
        <w:t>10</w:t>
      </w:r>
      <w:r w:rsidRPr="00851A31">
        <w:rPr>
          <w:sz w:val="24"/>
          <w:szCs w:val="24"/>
        </w:rPr>
        <w:t xml:space="preserve">, г. Калининград, ул. </w:t>
      </w:r>
      <w:r w:rsidR="00360AD2">
        <w:rPr>
          <w:sz w:val="24"/>
          <w:szCs w:val="24"/>
        </w:rPr>
        <w:t>Глазунова</w:t>
      </w:r>
      <w:r w:rsidRPr="00851A31">
        <w:rPr>
          <w:sz w:val="24"/>
          <w:szCs w:val="24"/>
        </w:rPr>
        <w:t>, д.</w:t>
      </w:r>
      <w:r w:rsidR="00360AD2">
        <w:rPr>
          <w:sz w:val="24"/>
          <w:szCs w:val="24"/>
        </w:rPr>
        <w:t>9</w:t>
      </w:r>
      <w:r w:rsidR="00794934">
        <w:rPr>
          <w:sz w:val="24"/>
          <w:szCs w:val="24"/>
        </w:rPr>
        <w:t xml:space="preserve">; </w:t>
      </w:r>
      <w:r w:rsidRPr="00851A31">
        <w:rPr>
          <w:sz w:val="24"/>
          <w:szCs w:val="24"/>
        </w:rPr>
        <w:t>ИНН 390</w:t>
      </w:r>
      <w:r w:rsidR="00360AD2">
        <w:rPr>
          <w:sz w:val="24"/>
          <w:szCs w:val="24"/>
        </w:rPr>
        <w:t>5607372</w:t>
      </w:r>
      <w:r w:rsidRPr="00851A31">
        <w:rPr>
          <w:sz w:val="24"/>
          <w:szCs w:val="24"/>
        </w:rPr>
        <w:t xml:space="preserve">, </w:t>
      </w:r>
      <w:r w:rsidR="00360AD2">
        <w:rPr>
          <w:sz w:val="24"/>
          <w:szCs w:val="24"/>
        </w:rPr>
        <w:t>КПП 390601001</w:t>
      </w:r>
      <w:r w:rsidR="00CF3994">
        <w:rPr>
          <w:sz w:val="24"/>
          <w:szCs w:val="24"/>
        </w:rPr>
        <w:t xml:space="preserve">, ОГРН </w:t>
      </w:r>
      <w:r w:rsidR="00CF3994" w:rsidRPr="00851A31">
        <w:rPr>
          <w:sz w:val="24"/>
          <w:szCs w:val="24"/>
        </w:rPr>
        <w:t>390</w:t>
      </w:r>
      <w:r w:rsidR="00CF3994">
        <w:rPr>
          <w:sz w:val="24"/>
          <w:szCs w:val="24"/>
        </w:rPr>
        <w:t>5607372</w:t>
      </w:r>
      <w:r w:rsidR="00794934">
        <w:rPr>
          <w:sz w:val="24"/>
          <w:szCs w:val="24"/>
        </w:rPr>
        <w:t xml:space="preserve">; </w:t>
      </w:r>
      <w:r w:rsidR="00CF3994">
        <w:rPr>
          <w:sz w:val="24"/>
          <w:szCs w:val="24"/>
        </w:rPr>
        <w:t>Генеральный директор:</w:t>
      </w:r>
      <w:r w:rsidRPr="00851A31">
        <w:rPr>
          <w:sz w:val="24"/>
          <w:szCs w:val="24"/>
        </w:rPr>
        <w:t xml:space="preserve"> </w:t>
      </w:r>
      <w:r w:rsidR="00CF3994">
        <w:rPr>
          <w:sz w:val="24"/>
          <w:szCs w:val="24"/>
        </w:rPr>
        <w:t>Макарова Ирина Анатольевна</w:t>
      </w:r>
      <w:r w:rsidRPr="00851A31">
        <w:rPr>
          <w:sz w:val="24"/>
          <w:szCs w:val="24"/>
        </w:rPr>
        <w:t>.</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A56C9D" w:rsidRDefault="006A11DF" w:rsidP="00BB3FDE">
      <w:pPr>
        <w:jc w:val="both"/>
        <w:rPr>
          <w:rFonts w:eastAsia="Calibri"/>
          <w:color w:val="000000"/>
          <w:sz w:val="24"/>
          <w:szCs w:val="24"/>
          <w:lang w:eastAsia="en-US"/>
        </w:rPr>
      </w:pPr>
      <w:r w:rsidRPr="003F5739">
        <w:rPr>
          <w:rFonts w:eastAsia="Calibri"/>
          <w:color w:val="000000"/>
          <w:sz w:val="24"/>
          <w:szCs w:val="24"/>
          <w:lang w:eastAsia="en-US"/>
        </w:rPr>
        <w:t>1.4.</w:t>
      </w:r>
      <w:r w:rsidR="00A730A4">
        <w:rPr>
          <w:rFonts w:eastAsia="Calibri"/>
          <w:color w:val="000000"/>
          <w:sz w:val="24"/>
          <w:szCs w:val="24"/>
          <w:lang w:eastAsia="en-US"/>
        </w:rPr>
        <w:t>1.</w:t>
      </w:r>
      <w:r w:rsidRPr="003F5739">
        <w:rPr>
          <w:rFonts w:eastAsia="Calibri"/>
          <w:color w:val="000000"/>
          <w:sz w:val="24"/>
          <w:szCs w:val="24"/>
          <w:lang w:eastAsia="en-US"/>
        </w:rPr>
        <w:t xml:space="preserve"> </w:t>
      </w:r>
      <w:r w:rsidR="00A56C9D">
        <w:rPr>
          <w:rFonts w:eastAsia="Calibri"/>
          <w:color w:val="000000"/>
          <w:sz w:val="24"/>
          <w:szCs w:val="24"/>
          <w:lang w:eastAsia="en-US"/>
        </w:rPr>
        <w:t>Сметная стоимость</w:t>
      </w:r>
      <w:r w:rsidR="00A56C9D">
        <w:rPr>
          <w:rFonts w:eastAsia="Calibri"/>
          <w:color w:val="000000"/>
          <w:sz w:val="24"/>
          <w:szCs w:val="24"/>
          <w:lang w:eastAsia="en-US"/>
        </w:rPr>
        <w:t xml:space="preserve"> работ по </w:t>
      </w:r>
      <w:r w:rsidR="00A56C9D" w:rsidRPr="001304DE">
        <w:rPr>
          <w:rFonts w:eastAsia="Calibri"/>
          <w:sz w:val="24"/>
          <w:szCs w:val="24"/>
          <w:lang w:eastAsia="en-US"/>
        </w:rPr>
        <w:t xml:space="preserve">благоустройству </w:t>
      </w:r>
      <w:proofErr w:type="gramStart"/>
      <w:r w:rsidR="00A56C9D" w:rsidRPr="001A5376">
        <w:rPr>
          <w:rFonts w:eastAsia="Calibri"/>
          <w:sz w:val="24"/>
          <w:szCs w:val="24"/>
          <w:lang w:eastAsia="en-US"/>
        </w:rPr>
        <w:t>дворов</w:t>
      </w:r>
      <w:r w:rsidR="00A56C9D">
        <w:rPr>
          <w:rFonts w:eastAsia="Calibri"/>
          <w:sz w:val="24"/>
          <w:szCs w:val="24"/>
          <w:lang w:eastAsia="en-US"/>
        </w:rPr>
        <w:t>ой</w:t>
      </w:r>
      <w:proofErr w:type="gramEnd"/>
      <w:r w:rsidR="00A56C9D">
        <w:rPr>
          <w:rFonts w:eastAsia="Calibri"/>
          <w:sz w:val="24"/>
          <w:szCs w:val="24"/>
          <w:lang w:eastAsia="en-US"/>
        </w:rPr>
        <w:t xml:space="preserve"> </w:t>
      </w:r>
      <w:r w:rsidR="00A56C9D" w:rsidRPr="001A5376">
        <w:rPr>
          <w:rFonts w:eastAsia="Calibri"/>
          <w:sz w:val="24"/>
          <w:szCs w:val="24"/>
          <w:lang w:eastAsia="en-US"/>
        </w:rPr>
        <w:t>территори</w:t>
      </w:r>
      <w:r w:rsidR="00A56C9D">
        <w:rPr>
          <w:rFonts w:eastAsia="Calibri"/>
          <w:sz w:val="24"/>
          <w:szCs w:val="24"/>
          <w:lang w:eastAsia="en-US"/>
        </w:rPr>
        <w:t>й</w:t>
      </w:r>
      <w:r w:rsidR="00A56C9D">
        <w:rPr>
          <w:rFonts w:eastAsia="Calibri"/>
          <w:sz w:val="24"/>
          <w:szCs w:val="24"/>
          <w:lang w:eastAsia="en-US"/>
        </w:rPr>
        <w:t xml:space="preserve"> </w:t>
      </w:r>
      <w:r w:rsidR="00A56C9D">
        <w:rPr>
          <w:rFonts w:eastAsia="Calibri"/>
          <w:sz w:val="24"/>
          <w:szCs w:val="24"/>
          <w:lang w:eastAsia="en-US"/>
        </w:rPr>
        <w:t xml:space="preserve">по адресу: </w:t>
      </w:r>
      <w:r w:rsidR="00A56C9D">
        <w:rPr>
          <w:rFonts w:eastAsia="Calibri"/>
          <w:sz w:val="24"/>
          <w:szCs w:val="24"/>
          <w:lang w:eastAsia="en-US"/>
        </w:rPr>
        <w:t xml:space="preserve">                                </w:t>
      </w:r>
      <w:r w:rsidR="00A56C9D">
        <w:rPr>
          <w:rFonts w:eastAsia="Calibri"/>
          <w:sz w:val="24"/>
          <w:szCs w:val="24"/>
          <w:lang w:eastAsia="en-US"/>
        </w:rPr>
        <w:t>г. Калининград,</w:t>
      </w:r>
      <w:r w:rsidR="00A56C9D" w:rsidRPr="006731DF">
        <w:rPr>
          <w:rFonts w:eastAsia="Calibri"/>
          <w:sz w:val="24"/>
          <w:szCs w:val="24"/>
          <w:lang w:eastAsia="en-US"/>
        </w:rPr>
        <w:t xml:space="preserve"> </w:t>
      </w:r>
      <w:r w:rsidR="00A56C9D" w:rsidRPr="006B27D7">
        <w:rPr>
          <w:rFonts w:eastAsia="Calibri"/>
          <w:sz w:val="24"/>
          <w:szCs w:val="24"/>
          <w:lang w:eastAsia="en-US"/>
        </w:rPr>
        <w:t xml:space="preserve">ул. </w:t>
      </w:r>
      <w:proofErr w:type="spellStart"/>
      <w:r w:rsidR="00A56C9D" w:rsidRPr="006B27D7">
        <w:rPr>
          <w:rFonts w:eastAsia="Calibri"/>
          <w:sz w:val="24"/>
          <w:szCs w:val="24"/>
          <w:lang w:eastAsia="en-US"/>
        </w:rPr>
        <w:t>Карташева</w:t>
      </w:r>
      <w:proofErr w:type="spellEnd"/>
      <w:r w:rsidR="00A56C9D" w:rsidRPr="006B27D7">
        <w:rPr>
          <w:rFonts w:eastAsia="Calibri"/>
          <w:sz w:val="24"/>
          <w:szCs w:val="24"/>
          <w:lang w:eastAsia="en-US"/>
        </w:rPr>
        <w:t xml:space="preserve"> д.30а-30г</w:t>
      </w:r>
      <w:r w:rsidR="00A56C9D">
        <w:rPr>
          <w:rFonts w:eastAsia="Calibri"/>
          <w:color w:val="000000"/>
          <w:sz w:val="24"/>
          <w:szCs w:val="24"/>
          <w:lang w:eastAsia="en-US"/>
        </w:rPr>
        <w:t xml:space="preserve">: </w:t>
      </w:r>
      <w:r w:rsidR="00A56C9D" w:rsidRPr="00A730A4">
        <w:rPr>
          <w:rFonts w:eastAsia="Calibri"/>
          <w:color w:val="000000"/>
          <w:sz w:val="24"/>
          <w:szCs w:val="24"/>
          <w:lang w:eastAsia="en-US"/>
        </w:rPr>
        <w:t>5 175 960 (пять миллионов сто семьдесят пять тысяч девятьсот шестьдесят) руб., в том числе НДС 20%: 862 660 (восемьсот шестьдесят две тысячи шестьсот шестьдесят) руб.</w:t>
      </w:r>
    </w:p>
    <w:p w:rsidR="00B03DB8" w:rsidRPr="00A730A4" w:rsidRDefault="00A56C9D" w:rsidP="00BB3FDE">
      <w:pPr>
        <w:jc w:val="both"/>
        <w:rPr>
          <w:rFonts w:eastAsia="Calibri"/>
          <w:color w:val="000000"/>
          <w:sz w:val="24"/>
          <w:szCs w:val="24"/>
          <w:lang w:eastAsia="en-US"/>
        </w:rPr>
      </w:pPr>
      <w:r w:rsidRPr="00A730A4">
        <w:rPr>
          <w:rFonts w:eastAsia="Calibri"/>
          <w:b/>
          <w:color w:val="000000"/>
          <w:sz w:val="24"/>
          <w:szCs w:val="24"/>
          <w:lang w:eastAsia="en-US"/>
        </w:rPr>
        <w:t>Особые условия!</w:t>
      </w:r>
      <w:r>
        <w:rPr>
          <w:rFonts w:eastAsia="Calibri"/>
          <w:color w:val="000000"/>
          <w:sz w:val="24"/>
          <w:szCs w:val="24"/>
          <w:lang w:eastAsia="en-US"/>
        </w:rPr>
        <w:t xml:space="preserve"> </w:t>
      </w:r>
      <w:r w:rsidR="002A2229" w:rsidRPr="00E73A59">
        <w:rPr>
          <w:rFonts w:eastAsia="Calibri"/>
          <w:color w:val="000000"/>
          <w:sz w:val="24"/>
          <w:szCs w:val="24"/>
          <w:lang w:eastAsia="en-US"/>
        </w:rPr>
        <w:t xml:space="preserve">Начальная (максимальная) цена </w:t>
      </w:r>
      <w:r w:rsidR="002A2229" w:rsidRPr="00A730A4">
        <w:rPr>
          <w:rFonts w:eastAsia="Calibri"/>
          <w:color w:val="000000"/>
          <w:sz w:val="24"/>
          <w:szCs w:val="24"/>
          <w:lang w:eastAsia="en-US"/>
        </w:rPr>
        <w:t>договор</w:t>
      </w:r>
      <w:r w:rsidR="005F7135" w:rsidRPr="00A730A4">
        <w:rPr>
          <w:rFonts w:eastAsia="Calibri"/>
          <w:color w:val="000000"/>
          <w:sz w:val="24"/>
          <w:szCs w:val="24"/>
          <w:lang w:eastAsia="en-US"/>
        </w:rPr>
        <w:t>а</w:t>
      </w:r>
      <w:r w:rsidR="002A2229" w:rsidRPr="00A730A4">
        <w:rPr>
          <w:rFonts w:eastAsia="Calibri"/>
          <w:color w:val="000000"/>
          <w:sz w:val="24"/>
          <w:szCs w:val="24"/>
          <w:lang w:eastAsia="en-US"/>
        </w:rPr>
        <w:t xml:space="preserve"> подряда</w:t>
      </w:r>
      <w:r w:rsidR="00F96BF0" w:rsidRPr="00A730A4">
        <w:rPr>
          <w:rFonts w:eastAsia="Calibri"/>
          <w:color w:val="000000"/>
          <w:sz w:val="24"/>
          <w:szCs w:val="24"/>
          <w:lang w:eastAsia="en-US"/>
        </w:rPr>
        <w:t xml:space="preserve"> № 1</w:t>
      </w:r>
      <w:r w:rsidR="002A2229" w:rsidRPr="00A730A4">
        <w:rPr>
          <w:rFonts w:eastAsia="Calibri"/>
          <w:color w:val="000000"/>
          <w:sz w:val="24"/>
          <w:szCs w:val="24"/>
          <w:lang w:eastAsia="en-US"/>
        </w:rPr>
        <w:t>:</w:t>
      </w:r>
      <w:r w:rsidR="00A730A4">
        <w:rPr>
          <w:rFonts w:eastAsia="Calibri"/>
          <w:color w:val="000000"/>
          <w:sz w:val="24"/>
          <w:szCs w:val="24"/>
          <w:lang w:eastAsia="en-US"/>
        </w:rPr>
        <w:t xml:space="preserve"> 5 158 391 (пять миллионов сто пятьдесят восемь тысяч триста девяност</w:t>
      </w:r>
      <w:r w:rsidR="00ED190A">
        <w:rPr>
          <w:rFonts w:eastAsia="Calibri"/>
          <w:color w:val="000000"/>
          <w:sz w:val="24"/>
          <w:szCs w:val="24"/>
          <w:lang w:eastAsia="en-US"/>
        </w:rPr>
        <w:t>о один) руб.</w:t>
      </w:r>
      <w:bookmarkStart w:id="0" w:name="_GoBack"/>
      <w:bookmarkEnd w:id="0"/>
      <w:r w:rsidR="00A730A4" w:rsidRPr="00A730A4">
        <w:rPr>
          <w:rFonts w:eastAsia="Calibri"/>
          <w:color w:val="000000"/>
          <w:sz w:val="24"/>
          <w:szCs w:val="24"/>
          <w:lang w:eastAsia="en-US"/>
        </w:rPr>
        <w:t xml:space="preserve"> Срок выполнения работ не более 70 календарных дней с учетом климатологии, в том числе: 10 календарных дней на подготовку документов.</w:t>
      </w:r>
      <w:r w:rsidR="002A2229" w:rsidRPr="00A730A4">
        <w:rPr>
          <w:rFonts w:eastAsia="Calibri"/>
          <w:color w:val="000000"/>
          <w:sz w:val="24"/>
          <w:szCs w:val="24"/>
          <w:lang w:eastAsia="en-US"/>
        </w:rPr>
        <w:t xml:space="preserve"> </w:t>
      </w:r>
    </w:p>
    <w:p w:rsidR="00A12F59" w:rsidRPr="00A730A4" w:rsidRDefault="00A730A4" w:rsidP="00A12F59">
      <w:pPr>
        <w:jc w:val="both"/>
        <w:rPr>
          <w:sz w:val="24"/>
          <w:szCs w:val="24"/>
        </w:rPr>
      </w:pPr>
      <w:r w:rsidRPr="00A730A4">
        <w:rPr>
          <w:rFonts w:eastAsia="Calibri"/>
          <w:color w:val="000000"/>
          <w:sz w:val="24"/>
          <w:szCs w:val="24"/>
          <w:lang w:eastAsia="en-US"/>
        </w:rPr>
        <w:t xml:space="preserve">1.4.2. </w:t>
      </w:r>
      <w:r w:rsidR="002A2229" w:rsidRPr="00A730A4">
        <w:rPr>
          <w:rFonts w:eastAsia="Calibri"/>
          <w:color w:val="000000"/>
          <w:sz w:val="24"/>
          <w:szCs w:val="24"/>
          <w:lang w:eastAsia="en-US"/>
        </w:rPr>
        <w:t>Начальная (максимальная) цена договор</w:t>
      </w:r>
      <w:r w:rsidR="005F7135" w:rsidRPr="00A730A4">
        <w:rPr>
          <w:rFonts w:eastAsia="Calibri"/>
          <w:color w:val="000000"/>
          <w:sz w:val="24"/>
          <w:szCs w:val="24"/>
          <w:lang w:eastAsia="en-US"/>
        </w:rPr>
        <w:t>а</w:t>
      </w:r>
      <w:r w:rsidR="002A2229" w:rsidRPr="00A730A4">
        <w:rPr>
          <w:rFonts w:eastAsia="Calibri"/>
          <w:color w:val="000000"/>
          <w:sz w:val="24"/>
          <w:szCs w:val="24"/>
          <w:lang w:eastAsia="en-US"/>
        </w:rPr>
        <w:t xml:space="preserve"> подряда</w:t>
      </w:r>
      <w:r w:rsidR="00F96BF0" w:rsidRPr="00A730A4">
        <w:rPr>
          <w:rFonts w:eastAsia="Calibri"/>
          <w:color w:val="000000"/>
          <w:sz w:val="24"/>
          <w:szCs w:val="24"/>
          <w:lang w:eastAsia="en-US"/>
        </w:rPr>
        <w:t xml:space="preserve"> № 2</w:t>
      </w:r>
      <w:r w:rsidR="002A2229" w:rsidRPr="00A730A4">
        <w:rPr>
          <w:rFonts w:eastAsia="Calibri"/>
          <w:color w:val="000000"/>
          <w:sz w:val="24"/>
          <w:szCs w:val="24"/>
          <w:lang w:eastAsia="en-US"/>
        </w:rPr>
        <w:t xml:space="preserve">: </w:t>
      </w:r>
      <w:r w:rsidR="004229C7" w:rsidRPr="00A730A4">
        <w:rPr>
          <w:rFonts w:eastAsia="Calibri"/>
          <w:color w:val="000000"/>
          <w:sz w:val="24"/>
          <w:szCs w:val="24"/>
          <w:lang w:eastAsia="en-US"/>
        </w:rPr>
        <w:t xml:space="preserve">1 135 406 </w:t>
      </w:r>
      <w:r w:rsidR="002A2229" w:rsidRPr="00A730A4">
        <w:rPr>
          <w:rFonts w:eastAsia="Calibri"/>
          <w:color w:val="000000"/>
          <w:sz w:val="24"/>
          <w:szCs w:val="24"/>
          <w:lang w:eastAsia="en-US"/>
        </w:rPr>
        <w:t>(</w:t>
      </w:r>
      <w:r w:rsidR="004229C7" w:rsidRPr="00A730A4">
        <w:rPr>
          <w:rFonts w:eastAsia="Calibri"/>
          <w:color w:val="000000"/>
          <w:sz w:val="24"/>
          <w:szCs w:val="24"/>
          <w:lang w:eastAsia="en-US"/>
        </w:rPr>
        <w:t>один миллион сто тридцать пять тысяч четыреста шесть</w:t>
      </w:r>
      <w:r w:rsidR="002A2229" w:rsidRPr="00A730A4">
        <w:rPr>
          <w:rFonts w:eastAsia="Calibri"/>
          <w:color w:val="000000"/>
          <w:sz w:val="24"/>
          <w:szCs w:val="24"/>
          <w:lang w:eastAsia="en-US"/>
        </w:rPr>
        <w:t>) руб</w:t>
      </w:r>
      <w:r w:rsidR="004229C7" w:rsidRPr="00A730A4">
        <w:rPr>
          <w:rFonts w:eastAsia="Calibri"/>
          <w:color w:val="000000"/>
          <w:sz w:val="24"/>
          <w:szCs w:val="24"/>
          <w:lang w:eastAsia="en-US"/>
        </w:rPr>
        <w:t>.</w:t>
      </w:r>
      <w:r w:rsidR="002A2229" w:rsidRPr="00A730A4">
        <w:rPr>
          <w:rFonts w:eastAsia="Calibri"/>
          <w:color w:val="000000"/>
          <w:sz w:val="24"/>
          <w:szCs w:val="24"/>
          <w:lang w:eastAsia="en-US"/>
        </w:rPr>
        <w:t xml:space="preserve">, в том числе НДС 20%: </w:t>
      </w:r>
      <w:r w:rsidR="004229C7" w:rsidRPr="00A730A4">
        <w:rPr>
          <w:rFonts w:eastAsia="Calibri"/>
          <w:color w:val="000000"/>
          <w:sz w:val="24"/>
          <w:szCs w:val="24"/>
          <w:lang w:eastAsia="en-US"/>
        </w:rPr>
        <w:t xml:space="preserve">189 234 </w:t>
      </w:r>
      <w:r w:rsidR="002A2229" w:rsidRPr="00A730A4">
        <w:rPr>
          <w:rFonts w:eastAsia="Calibri"/>
          <w:color w:val="000000"/>
          <w:sz w:val="24"/>
          <w:szCs w:val="24"/>
          <w:lang w:eastAsia="en-US"/>
        </w:rPr>
        <w:t>(</w:t>
      </w:r>
      <w:r w:rsidR="004229C7" w:rsidRPr="00A730A4">
        <w:rPr>
          <w:rFonts w:eastAsia="Calibri"/>
          <w:color w:val="000000"/>
          <w:sz w:val="24"/>
          <w:szCs w:val="24"/>
          <w:lang w:eastAsia="en-US"/>
        </w:rPr>
        <w:t>сто восемьдесят девять тысяч двести тридцать четыре</w:t>
      </w:r>
      <w:r w:rsidR="002A2229" w:rsidRPr="00A730A4">
        <w:rPr>
          <w:rFonts w:eastAsia="Calibri"/>
          <w:color w:val="000000"/>
          <w:sz w:val="24"/>
          <w:szCs w:val="24"/>
          <w:lang w:eastAsia="en-US"/>
        </w:rPr>
        <w:t>) руб</w:t>
      </w:r>
      <w:r w:rsidR="004229C7" w:rsidRPr="00A730A4">
        <w:rPr>
          <w:rFonts w:eastAsia="Calibri"/>
          <w:color w:val="000000"/>
          <w:sz w:val="24"/>
          <w:szCs w:val="24"/>
          <w:lang w:eastAsia="en-US"/>
        </w:rPr>
        <w:t>. 33</w:t>
      </w:r>
      <w:r w:rsidR="003665E6" w:rsidRPr="00A730A4">
        <w:rPr>
          <w:rFonts w:eastAsia="Calibri"/>
          <w:color w:val="000000"/>
          <w:sz w:val="24"/>
          <w:szCs w:val="24"/>
          <w:lang w:eastAsia="en-US"/>
        </w:rPr>
        <w:t xml:space="preserve"> коп</w:t>
      </w:r>
      <w:r w:rsidR="002A2229" w:rsidRPr="00A730A4">
        <w:rPr>
          <w:rFonts w:eastAsia="Calibri"/>
          <w:color w:val="000000"/>
          <w:sz w:val="24"/>
          <w:szCs w:val="24"/>
          <w:lang w:eastAsia="en-US"/>
        </w:rPr>
        <w:t>.</w:t>
      </w:r>
      <w:r w:rsidR="004119C6" w:rsidRPr="00A730A4">
        <w:rPr>
          <w:rFonts w:eastAsia="Calibri"/>
          <w:color w:val="000000"/>
          <w:sz w:val="24"/>
          <w:szCs w:val="24"/>
          <w:lang w:eastAsia="en-US"/>
        </w:rPr>
        <w:t xml:space="preserve"> Срок выполнения работ не более </w:t>
      </w:r>
      <w:r w:rsidR="004229C7" w:rsidRPr="00A730A4">
        <w:rPr>
          <w:rFonts w:eastAsia="Calibri"/>
          <w:color w:val="000000"/>
          <w:sz w:val="24"/>
          <w:szCs w:val="24"/>
          <w:lang w:eastAsia="en-US"/>
        </w:rPr>
        <w:t>70</w:t>
      </w:r>
      <w:r w:rsidR="004119C6" w:rsidRPr="00A730A4">
        <w:rPr>
          <w:rFonts w:eastAsia="Calibri"/>
          <w:color w:val="000000"/>
          <w:sz w:val="24"/>
          <w:szCs w:val="24"/>
          <w:lang w:eastAsia="en-US"/>
        </w:rPr>
        <w:t xml:space="preserve"> календарных дней с учетом климатологии, в том числе: 10 календарных дней на подготовку документов.</w:t>
      </w:r>
    </w:p>
    <w:p w:rsidR="006A11DF" w:rsidRPr="00A730A4"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xml:space="preserve">. 15, </w:t>
      </w:r>
      <w:r w:rsidRPr="00A730A4">
        <w:rPr>
          <w:sz w:val="24"/>
          <w:szCs w:val="24"/>
        </w:rPr>
        <w:t>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A730A4">
        <w:rPr>
          <w:rFonts w:eastAsia="Calibri"/>
          <w:sz w:val="24"/>
          <w:szCs w:val="24"/>
          <w:lang w:eastAsia="en-US"/>
        </w:rPr>
        <w:t>1.6. Вскрытие пакетов с конкурсными заявками будет произведено с 10 часов 00 минут</w:t>
      </w:r>
      <w:r w:rsidR="00ED190A">
        <w:rPr>
          <w:rFonts w:eastAsia="Calibri"/>
          <w:sz w:val="24"/>
          <w:szCs w:val="24"/>
          <w:lang w:eastAsia="en-US"/>
        </w:rPr>
        <w:t xml:space="preserve">                         </w:t>
      </w:r>
      <w:r w:rsidRPr="00A730A4">
        <w:rPr>
          <w:rFonts w:eastAsia="Calibri"/>
          <w:sz w:val="24"/>
          <w:szCs w:val="24"/>
          <w:lang w:eastAsia="en-US"/>
        </w:rPr>
        <w:t xml:space="preserve"> </w:t>
      </w:r>
      <w:r w:rsidR="00DE04DD" w:rsidRPr="00A730A4">
        <w:rPr>
          <w:rFonts w:eastAsia="Calibri"/>
          <w:sz w:val="24"/>
          <w:szCs w:val="24"/>
          <w:lang w:eastAsia="en-US"/>
        </w:rPr>
        <w:t>«</w:t>
      </w:r>
      <w:r w:rsidR="00A1017C" w:rsidRPr="00A730A4">
        <w:rPr>
          <w:rFonts w:eastAsia="Calibri"/>
          <w:sz w:val="24"/>
          <w:szCs w:val="24"/>
          <w:lang w:eastAsia="en-US"/>
        </w:rPr>
        <w:t>16</w:t>
      </w:r>
      <w:r w:rsidR="00DE04DD" w:rsidRPr="00A730A4">
        <w:rPr>
          <w:rFonts w:eastAsia="Calibri"/>
          <w:sz w:val="24"/>
          <w:szCs w:val="24"/>
          <w:lang w:eastAsia="en-US"/>
        </w:rPr>
        <w:t xml:space="preserve">» </w:t>
      </w:r>
      <w:r w:rsidRPr="00A730A4">
        <w:rPr>
          <w:rFonts w:eastAsia="Calibri"/>
          <w:sz w:val="24"/>
          <w:szCs w:val="24"/>
          <w:lang w:eastAsia="en-US"/>
        </w:rPr>
        <w:t xml:space="preserve"> </w:t>
      </w:r>
      <w:r w:rsidR="00A1017C" w:rsidRPr="00A730A4">
        <w:rPr>
          <w:rFonts w:eastAsia="Calibri"/>
          <w:sz w:val="24"/>
          <w:szCs w:val="24"/>
          <w:lang w:eastAsia="en-US"/>
        </w:rPr>
        <w:t>декабря</w:t>
      </w:r>
      <w:r w:rsidRPr="00A730A4">
        <w:rPr>
          <w:rFonts w:eastAsia="Calibri"/>
          <w:sz w:val="24"/>
          <w:szCs w:val="24"/>
          <w:lang w:eastAsia="en-US"/>
        </w:rPr>
        <w:t xml:space="preserve"> 201</w:t>
      </w:r>
      <w:r w:rsidR="00E57F06" w:rsidRPr="00A730A4">
        <w:rPr>
          <w:rFonts w:eastAsia="Calibri"/>
          <w:sz w:val="24"/>
          <w:szCs w:val="24"/>
          <w:lang w:eastAsia="en-US"/>
        </w:rPr>
        <w:t>9</w:t>
      </w:r>
      <w:r w:rsidRPr="00A730A4">
        <w:rPr>
          <w:rFonts w:eastAsia="Calibri"/>
          <w:sz w:val="24"/>
          <w:szCs w:val="24"/>
          <w:lang w:eastAsia="en-US"/>
        </w:rPr>
        <w:t xml:space="preserve"> года по адресу: г. Калининград, ул. Фрунзе, дом 71, </w:t>
      </w:r>
      <w:proofErr w:type="spellStart"/>
      <w:r w:rsidRPr="00A730A4">
        <w:rPr>
          <w:rFonts w:eastAsia="Calibri"/>
          <w:sz w:val="24"/>
          <w:szCs w:val="24"/>
          <w:lang w:eastAsia="en-US"/>
        </w:rPr>
        <w:t>каб</w:t>
      </w:r>
      <w:proofErr w:type="spellEnd"/>
      <w:r w:rsidRPr="00A730A4">
        <w:rPr>
          <w:rFonts w:eastAsia="Calibri"/>
          <w:sz w:val="24"/>
          <w:szCs w:val="24"/>
          <w:lang w:eastAsia="en-US"/>
        </w:rPr>
        <w:t>. 25. На процедуру вскрытия</w:t>
      </w:r>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E32B00">
        <w:rPr>
          <w:rFonts w:eastAsia="Calibri"/>
          <w:sz w:val="24"/>
          <w:szCs w:val="24"/>
          <w:lang w:eastAsia="en-US"/>
        </w:rPr>
        <w:t>30</w:t>
      </w:r>
      <w:r w:rsidRPr="003F5739">
        <w:rPr>
          <w:rFonts w:eastAsia="Calibri"/>
          <w:sz w:val="24"/>
          <w:szCs w:val="24"/>
          <w:lang w:eastAsia="en-US"/>
        </w:rPr>
        <w:t xml:space="preserve">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E67C1B" w:rsidRPr="00E67C1B">
        <w:rPr>
          <w:rFonts w:eastAsia="Calibri"/>
          <w:b/>
          <w:color w:val="000000"/>
          <w:sz w:val="24"/>
          <w:szCs w:val="24"/>
          <w:lang w:eastAsia="en-US"/>
        </w:rPr>
        <w:t>189</w:t>
      </w:r>
      <w:r w:rsidR="00E67C1B">
        <w:rPr>
          <w:rFonts w:eastAsia="Calibri"/>
          <w:b/>
          <w:color w:val="000000"/>
          <w:sz w:val="24"/>
          <w:szCs w:val="24"/>
          <w:lang w:eastAsia="en-US"/>
        </w:rPr>
        <w:t> </w:t>
      </w:r>
      <w:r w:rsidR="00E67C1B" w:rsidRPr="00E67C1B">
        <w:rPr>
          <w:rFonts w:eastAsia="Calibri"/>
          <w:b/>
          <w:color w:val="000000"/>
          <w:sz w:val="24"/>
          <w:szCs w:val="24"/>
          <w:lang w:eastAsia="en-US"/>
        </w:rPr>
        <w:t>34</w:t>
      </w:r>
      <w:r w:rsidR="00694DD6">
        <w:rPr>
          <w:rFonts w:eastAsia="Calibri"/>
          <w:b/>
          <w:color w:val="000000"/>
          <w:sz w:val="24"/>
          <w:szCs w:val="24"/>
          <w:lang w:eastAsia="en-US"/>
        </w:rPr>
        <w:t>1</w:t>
      </w:r>
      <w:r w:rsidR="00E67C1B">
        <w:rPr>
          <w:rFonts w:eastAsia="Calibri"/>
          <w:b/>
          <w:color w:val="000000"/>
          <w:sz w:val="24"/>
          <w:szCs w:val="24"/>
          <w:lang w:eastAsia="en-US"/>
        </w:rPr>
        <w:t xml:space="preserve"> </w:t>
      </w:r>
      <w:r w:rsidR="00A1017C" w:rsidRPr="00A1017C">
        <w:rPr>
          <w:rFonts w:eastAsia="Calibri"/>
          <w:b/>
          <w:color w:val="000000"/>
          <w:sz w:val="24"/>
          <w:szCs w:val="24"/>
          <w:lang w:eastAsia="en-US"/>
        </w:rPr>
        <w:t>(</w:t>
      </w:r>
      <w:r w:rsidR="00E67C1B">
        <w:rPr>
          <w:rFonts w:eastAsia="Calibri"/>
          <w:b/>
          <w:color w:val="000000"/>
          <w:sz w:val="24"/>
          <w:szCs w:val="24"/>
          <w:lang w:eastAsia="en-US"/>
        </w:rPr>
        <w:t>сто восемьдесят девять тысяч триста сорок</w:t>
      </w:r>
      <w:r w:rsidR="00694DD6">
        <w:rPr>
          <w:rFonts w:eastAsia="Calibri"/>
          <w:b/>
          <w:color w:val="000000"/>
          <w:sz w:val="24"/>
          <w:szCs w:val="24"/>
          <w:lang w:eastAsia="en-US"/>
        </w:rPr>
        <w:t xml:space="preserve"> один</w:t>
      </w:r>
      <w:r w:rsidR="00A1017C" w:rsidRPr="00A1017C">
        <w:rPr>
          <w:rFonts w:eastAsia="Calibri"/>
          <w:b/>
          <w:color w:val="000000"/>
          <w:sz w:val="24"/>
          <w:szCs w:val="24"/>
          <w:lang w:eastAsia="en-US"/>
        </w:rPr>
        <w:t>) руб</w:t>
      </w:r>
      <w:r w:rsidR="00694DD6">
        <w:rPr>
          <w:rFonts w:eastAsia="Calibri"/>
          <w:b/>
          <w:color w:val="000000"/>
          <w:sz w:val="24"/>
          <w:szCs w:val="24"/>
          <w:lang w:eastAsia="en-US"/>
        </w:rPr>
        <w:t xml:space="preserve">. </w:t>
      </w:r>
      <w:r w:rsidR="003E28B5" w:rsidRPr="003E28B5">
        <w:rPr>
          <w:rFonts w:eastAsia="Calibri"/>
          <w:b/>
          <w:sz w:val="24"/>
          <w:szCs w:val="24"/>
          <w:lang w:eastAsia="en-US"/>
        </w:rPr>
        <w:t xml:space="preserve">(3% от </w:t>
      </w:r>
      <w:r w:rsidR="00E67C1B">
        <w:rPr>
          <w:rFonts w:eastAsia="Calibri"/>
          <w:b/>
          <w:sz w:val="24"/>
          <w:szCs w:val="24"/>
          <w:lang w:eastAsia="en-US"/>
        </w:rPr>
        <w:t xml:space="preserve">суммы </w:t>
      </w:r>
      <w:r w:rsidR="003E28B5" w:rsidRPr="003E28B5">
        <w:rPr>
          <w:rFonts w:eastAsia="Calibri"/>
          <w:b/>
          <w:sz w:val="24"/>
          <w:szCs w:val="24"/>
          <w:lang w:eastAsia="en-US"/>
        </w:rPr>
        <w:t>начальн</w:t>
      </w:r>
      <w:r w:rsidR="00E67C1B">
        <w:rPr>
          <w:rFonts w:eastAsia="Calibri"/>
          <w:b/>
          <w:sz w:val="24"/>
          <w:szCs w:val="24"/>
          <w:lang w:eastAsia="en-US"/>
        </w:rPr>
        <w:t>ых</w:t>
      </w:r>
      <w:r w:rsidR="003E28B5" w:rsidRPr="003E28B5">
        <w:rPr>
          <w:rFonts w:eastAsia="Calibri"/>
          <w:b/>
          <w:sz w:val="24"/>
          <w:szCs w:val="24"/>
          <w:lang w:eastAsia="en-US"/>
        </w:rPr>
        <w:t xml:space="preserve"> цен договор</w:t>
      </w:r>
      <w:r w:rsidR="00E67C1B">
        <w:rPr>
          <w:rFonts w:eastAsia="Calibri"/>
          <w:b/>
          <w:sz w:val="24"/>
          <w:szCs w:val="24"/>
          <w:lang w:eastAsia="en-US"/>
        </w:rPr>
        <w:t>ов</w:t>
      </w:r>
      <w:r w:rsidR="003E28B5" w:rsidRPr="003E28B5">
        <w:rPr>
          <w:rFonts w:eastAsia="Calibri"/>
          <w:b/>
          <w:sz w:val="24"/>
          <w:szCs w:val="24"/>
          <w:lang w:eastAsia="en-US"/>
        </w:rPr>
        <w:t xml:space="preserve">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w:t>
      </w:r>
      <w:r w:rsidRPr="003F5739">
        <w:rPr>
          <w:rFonts w:eastAsia="Calibri"/>
          <w:sz w:val="24"/>
          <w:szCs w:val="24"/>
          <w:lang w:eastAsia="en-US"/>
        </w:rPr>
        <w:lastRenderedPageBreak/>
        <w:t xml:space="preserve">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w:t>
      </w:r>
      <w:r w:rsidRPr="003F5739">
        <w:rPr>
          <w:rFonts w:eastAsia="Calibri"/>
          <w:sz w:val="24"/>
          <w:szCs w:val="24"/>
          <w:lang w:eastAsia="en-US"/>
        </w:rPr>
        <w:lastRenderedPageBreak/>
        <w:t xml:space="preserve">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w:t>
      </w:r>
      <w:r w:rsidRPr="003F5739">
        <w:rPr>
          <w:rFonts w:eastAsia="Calibri"/>
          <w:sz w:val="24"/>
          <w:szCs w:val="24"/>
          <w:lang w:eastAsia="en-US"/>
        </w:rPr>
        <w:lastRenderedPageBreak/>
        <w:t>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3F5739">
        <w:rPr>
          <w:rFonts w:eastAsia="Calibri"/>
          <w:sz w:val="24"/>
          <w:szCs w:val="24"/>
          <w:lang w:eastAsia="en-US"/>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lastRenderedPageBreak/>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дней с даты предоставления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w:t>
      </w:r>
      <w:r w:rsidR="00A1017C">
        <w:rPr>
          <w:rFonts w:eastAsia="Calibri"/>
          <w:sz w:val="24"/>
          <w:szCs w:val="24"/>
          <w:lang w:eastAsia="en-US"/>
        </w:rPr>
        <w:t>1</w:t>
      </w:r>
      <w:r w:rsidR="00463FA9">
        <w:rPr>
          <w:rFonts w:eastAsia="Calibri"/>
          <w:sz w:val="24"/>
          <w:szCs w:val="24"/>
          <w:lang w:eastAsia="en-US"/>
        </w:rPr>
        <w:t>6</w:t>
      </w:r>
      <w:r w:rsidRPr="00F91FD4">
        <w:rPr>
          <w:rFonts w:eastAsia="Calibri"/>
          <w:sz w:val="24"/>
          <w:szCs w:val="24"/>
          <w:lang w:eastAsia="en-US"/>
        </w:rPr>
        <w:t xml:space="preserve">" </w:t>
      </w:r>
      <w:r w:rsidR="00A1017C">
        <w:rPr>
          <w:rFonts w:eastAsia="Calibri"/>
          <w:sz w:val="24"/>
          <w:szCs w:val="24"/>
          <w:lang w:eastAsia="en-US"/>
        </w:rPr>
        <w:t>марта</w:t>
      </w:r>
      <w:r w:rsidRPr="00F91FD4">
        <w:rPr>
          <w:rFonts w:eastAsia="Calibri"/>
          <w:sz w:val="24"/>
          <w:szCs w:val="24"/>
          <w:lang w:eastAsia="en-US"/>
        </w:rPr>
        <w:t xml:space="preserve"> 20</w:t>
      </w:r>
      <w:r w:rsidR="00A1017C">
        <w:rPr>
          <w:rFonts w:eastAsia="Calibri"/>
          <w:sz w:val="24"/>
          <w:szCs w:val="24"/>
          <w:lang w:eastAsia="en-US"/>
        </w:rPr>
        <w:t>20</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w:t>
      </w:r>
      <w:r w:rsidRPr="00F91FD4">
        <w:rPr>
          <w:rFonts w:eastAsia="Calibri"/>
          <w:sz w:val="24"/>
          <w:szCs w:val="24"/>
          <w:lang w:eastAsia="en-US"/>
        </w:rPr>
        <w:lastRenderedPageBreak/>
        <w:t xml:space="preserve">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w:t>
      </w:r>
      <w:r w:rsidR="005F5F9A">
        <w:rPr>
          <w:rFonts w:eastAsia="Calibri"/>
          <w:sz w:val="24"/>
          <w:szCs w:val="24"/>
          <w:lang w:eastAsia="en-US"/>
        </w:rPr>
        <w:lastRenderedPageBreak/>
        <w:t xml:space="preserve">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2C1"/>
    <w:rsid w:val="000176A0"/>
    <w:rsid w:val="00025296"/>
    <w:rsid w:val="000370A0"/>
    <w:rsid w:val="00041521"/>
    <w:rsid w:val="000418F1"/>
    <w:rsid w:val="0005795B"/>
    <w:rsid w:val="00065818"/>
    <w:rsid w:val="000A1685"/>
    <w:rsid w:val="000A31DD"/>
    <w:rsid w:val="000A6F83"/>
    <w:rsid w:val="000B1892"/>
    <w:rsid w:val="000B314D"/>
    <w:rsid w:val="000B3573"/>
    <w:rsid w:val="000F04F4"/>
    <w:rsid w:val="000F18EA"/>
    <w:rsid w:val="000F4DAA"/>
    <w:rsid w:val="000F535C"/>
    <w:rsid w:val="000F7106"/>
    <w:rsid w:val="000F73CE"/>
    <w:rsid w:val="00105F22"/>
    <w:rsid w:val="001068E9"/>
    <w:rsid w:val="00124329"/>
    <w:rsid w:val="00125FB5"/>
    <w:rsid w:val="001304DE"/>
    <w:rsid w:val="00134290"/>
    <w:rsid w:val="00143E98"/>
    <w:rsid w:val="00155A78"/>
    <w:rsid w:val="00166700"/>
    <w:rsid w:val="00174FE7"/>
    <w:rsid w:val="00187186"/>
    <w:rsid w:val="0019223B"/>
    <w:rsid w:val="001A1322"/>
    <w:rsid w:val="001A5376"/>
    <w:rsid w:val="001B239F"/>
    <w:rsid w:val="001C5084"/>
    <w:rsid w:val="001D4481"/>
    <w:rsid w:val="001D4C24"/>
    <w:rsid w:val="001F5358"/>
    <w:rsid w:val="00200232"/>
    <w:rsid w:val="0020742E"/>
    <w:rsid w:val="00221328"/>
    <w:rsid w:val="00222851"/>
    <w:rsid w:val="00224414"/>
    <w:rsid w:val="00230D98"/>
    <w:rsid w:val="00232816"/>
    <w:rsid w:val="00234595"/>
    <w:rsid w:val="00236A6F"/>
    <w:rsid w:val="0025603C"/>
    <w:rsid w:val="002644CD"/>
    <w:rsid w:val="00267445"/>
    <w:rsid w:val="002708DC"/>
    <w:rsid w:val="00280525"/>
    <w:rsid w:val="00282AEB"/>
    <w:rsid w:val="00282FB2"/>
    <w:rsid w:val="00293509"/>
    <w:rsid w:val="002973BA"/>
    <w:rsid w:val="002A0881"/>
    <w:rsid w:val="002A2229"/>
    <w:rsid w:val="002D31B4"/>
    <w:rsid w:val="002D7041"/>
    <w:rsid w:val="002E170A"/>
    <w:rsid w:val="002E7348"/>
    <w:rsid w:val="002E737F"/>
    <w:rsid w:val="00304A43"/>
    <w:rsid w:val="0030579A"/>
    <w:rsid w:val="00320DE3"/>
    <w:rsid w:val="00327D41"/>
    <w:rsid w:val="00332689"/>
    <w:rsid w:val="0034415B"/>
    <w:rsid w:val="00353F31"/>
    <w:rsid w:val="00360AD2"/>
    <w:rsid w:val="003628E4"/>
    <w:rsid w:val="00362B77"/>
    <w:rsid w:val="003665E6"/>
    <w:rsid w:val="00375B5B"/>
    <w:rsid w:val="00375FD8"/>
    <w:rsid w:val="003C3429"/>
    <w:rsid w:val="003D57F0"/>
    <w:rsid w:val="003D701A"/>
    <w:rsid w:val="003E0CD3"/>
    <w:rsid w:val="003E28B5"/>
    <w:rsid w:val="00405466"/>
    <w:rsid w:val="004119C6"/>
    <w:rsid w:val="004229C7"/>
    <w:rsid w:val="004252AC"/>
    <w:rsid w:val="00434356"/>
    <w:rsid w:val="00441FB4"/>
    <w:rsid w:val="00445AB9"/>
    <w:rsid w:val="00456A0D"/>
    <w:rsid w:val="00463FA9"/>
    <w:rsid w:val="00467956"/>
    <w:rsid w:val="00492DFC"/>
    <w:rsid w:val="00494676"/>
    <w:rsid w:val="00494A25"/>
    <w:rsid w:val="004A556C"/>
    <w:rsid w:val="004A5577"/>
    <w:rsid w:val="004A6695"/>
    <w:rsid w:val="004B7909"/>
    <w:rsid w:val="004C0B18"/>
    <w:rsid w:val="004C793E"/>
    <w:rsid w:val="004D3AFD"/>
    <w:rsid w:val="004D518A"/>
    <w:rsid w:val="004D7270"/>
    <w:rsid w:val="004E30E7"/>
    <w:rsid w:val="004F04DC"/>
    <w:rsid w:val="004F3A5C"/>
    <w:rsid w:val="004F43E7"/>
    <w:rsid w:val="004F7654"/>
    <w:rsid w:val="0051441C"/>
    <w:rsid w:val="0051511D"/>
    <w:rsid w:val="0052396F"/>
    <w:rsid w:val="0053132F"/>
    <w:rsid w:val="00536E58"/>
    <w:rsid w:val="005524DF"/>
    <w:rsid w:val="00566606"/>
    <w:rsid w:val="005729F6"/>
    <w:rsid w:val="005763A6"/>
    <w:rsid w:val="00590449"/>
    <w:rsid w:val="00593C16"/>
    <w:rsid w:val="005A2CA1"/>
    <w:rsid w:val="005A6464"/>
    <w:rsid w:val="005A7F7C"/>
    <w:rsid w:val="005B2C0D"/>
    <w:rsid w:val="005D2A43"/>
    <w:rsid w:val="005E2FA0"/>
    <w:rsid w:val="005E6F26"/>
    <w:rsid w:val="005F5F9A"/>
    <w:rsid w:val="005F7135"/>
    <w:rsid w:val="005F7BEF"/>
    <w:rsid w:val="00612335"/>
    <w:rsid w:val="00617B7E"/>
    <w:rsid w:val="00632BFF"/>
    <w:rsid w:val="0064733E"/>
    <w:rsid w:val="00652301"/>
    <w:rsid w:val="006659B8"/>
    <w:rsid w:val="006731DF"/>
    <w:rsid w:val="0068510F"/>
    <w:rsid w:val="00694DD6"/>
    <w:rsid w:val="00695CD6"/>
    <w:rsid w:val="006A11DF"/>
    <w:rsid w:val="006A22D8"/>
    <w:rsid w:val="006B27D7"/>
    <w:rsid w:val="006B49AD"/>
    <w:rsid w:val="006B7D90"/>
    <w:rsid w:val="006E2878"/>
    <w:rsid w:val="006E75EB"/>
    <w:rsid w:val="006E7C86"/>
    <w:rsid w:val="007201C1"/>
    <w:rsid w:val="00747D5D"/>
    <w:rsid w:val="00755775"/>
    <w:rsid w:val="00776D76"/>
    <w:rsid w:val="0079358F"/>
    <w:rsid w:val="00793644"/>
    <w:rsid w:val="00793D89"/>
    <w:rsid w:val="00794095"/>
    <w:rsid w:val="007946DC"/>
    <w:rsid w:val="00794934"/>
    <w:rsid w:val="007A3282"/>
    <w:rsid w:val="007B5703"/>
    <w:rsid w:val="007B6663"/>
    <w:rsid w:val="007C3E4B"/>
    <w:rsid w:val="007C56D3"/>
    <w:rsid w:val="007C61FB"/>
    <w:rsid w:val="007D3BA1"/>
    <w:rsid w:val="007D7F16"/>
    <w:rsid w:val="007E6D72"/>
    <w:rsid w:val="007F3667"/>
    <w:rsid w:val="00803378"/>
    <w:rsid w:val="00806718"/>
    <w:rsid w:val="00837928"/>
    <w:rsid w:val="008414AE"/>
    <w:rsid w:val="008462B8"/>
    <w:rsid w:val="00851A31"/>
    <w:rsid w:val="008743F3"/>
    <w:rsid w:val="0089198E"/>
    <w:rsid w:val="00894F09"/>
    <w:rsid w:val="00895E81"/>
    <w:rsid w:val="008A59BD"/>
    <w:rsid w:val="008A79E2"/>
    <w:rsid w:val="008A7A0E"/>
    <w:rsid w:val="008B65AB"/>
    <w:rsid w:val="008D1908"/>
    <w:rsid w:val="008D2FC3"/>
    <w:rsid w:val="008F4CCB"/>
    <w:rsid w:val="009200A9"/>
    <w:rsid w:val="009453D8"/>
    <w:rsid w:val="00947F12"/>
    <w:rsid w:val="00950A97"/>
    <w:rsid w:val="0096122B"/>
    <w:rsid w:val="009613A1"/>
    <w:rsid w:val="00966387"/>
    <w:rsid w:val="00970E7D"/>
    <w:rsid w:val="00987DCA"/>
    <w:rsid w:val="009907C6"/>
    <w:rsid w:val="00991574"/>
    <w:rsid w:val="00997637"/>
    <w:rsid w:val="009C34D7"/>
    <w:rsid w:val="00A1017C"/>
    <w:rsid w:val="00A12F59"/>
    <w:rsid w:val="00A2635D"/>
    <w:rsid w:val="00A27542"/>
    <w:rsid w:val="00A37712"/>
    <w:rsid w:val="00A44A62"/>
    <w:rsid w:val="00A45466"/>
    <w:rsid w:val="00A50B48"/>
    <w:rsid w:val="00A52EFB"/>
    <w:rsid w:val="00A548CB"/>
    <w:rsid w:val="00A56C9D"/>
    <w:rsid w:val="00A655E4"/>
    <w:rsid w:val="00A675DF"/>
    <w:rsid w:val="00A71F3F"/>
    <w:rsid w:val="00A72624"/>
    <w:rsid w:val="00A730A4"/>
    <w:rsid w:val="00A80DB3"/>
    <w:rsid w:val="00A8192D"/>
    <w:rsid w:val="00A96EC5"/>
    <w:rsid w:val="00AA6089"/>
    <w:rsid w:val="00AC5B1C"/>
    <w:rsid w:val="00AC5F50"/>
    <w:rsid w:val="00AD4F9E"/>
    <w:rsid w:val="00AE4206"/>
    <w:rsid w:val="00AF0BD6"/>
    <w:rsid w:val="00AF0D64"/>
    <w:rsid w:val="00AF497B"/>
    <w:rsid w:val="00AF6CBF"/>
    <w:rsid w:val="00B00BE6"/>
    <w:rsid w:val="00B03DB8"/>
    <w:rsid w:val="00B33546"/>
    <w:rsid w:val="00B42BB2"/>
    <w:rsid w:val="00B435C4"/>
    <w:rsid w:val="00B54785"/>
    <w:rsid w:val="00B6441E"/>
    <w:rsid w:val="00B66A7B"/>
    <w:rsid w:val="00B76446"/>
    <w:rsid w:val="00BB3FDE"/>
    <w:rsid w:val="00BB6DF2"/>
    <w:rsid w:val="00BC183B"/>
    <w:rsid w:val="00BC4A62"/>
    <w:rsid w:val="00BD323E"/>
    <w:rsid w:val="00BE276A"/>
    <w:rsid w:val="00BF46E6"/>
    <w:rsid w:val="00C06B09"/>
    <w:rsid w:val="00C1570F"/>
    <w:rsid w:val="00C179B9"/>
    <w:rsid w:val="00C22392"/>
    <w:rsid w:val="00C41938"/>
    <w:rsid w:val="00C42458"/>
    <w:rsid w:val="00C50350"/>
    <w:rsid w:val="00C50A14"/>
    <w:rsid w:val="00C54524"/>
    <w:rsid w:val="00C624B3"/>
    <w:rsid w:val="00C63B27"/>
    <w:rsid w:val="00C709D7"/>
    <w:rsid w:val="00C74901"/>
    <w:rsid w:val="00C8076A"/>
    <w:rsid w:val="00C8536D"/>
    <w:rsid w:val="00CA3E92"/>
    <w:rsid w:val="00CA57D7"/>
    <w:rsid w:val="00CB5856"/>
    <w:rsid w:val="00CC2324"/>
    <w:rsid w:val="00CD1668"/>
    <w:rsid w:val="00CD18FB"/>
    <w:rsid w:val="00CE4E16"/>
    <w:rsid w:val="00CE4EE4"/>
    <w:rsid w:val="00CF0F66"/>
    <w:rsid w:val="00CF1983"/>
    <w:rsid w:val="00CF2B5B"/>
    <w:rsid w:val="00CF3994"/>
    <w:rsid w:val="00D007F4"/>
    <w:rsid w:val="00D04386"/>
    <w:rsid w:val="00D0630B"/>
    <w:rsid w:val="00D17937"/>
    <w:rsid w:val="00D20C07"/>
    <w:rsid w:val="00D2113F"/>
    <w:rsid w:val="00D23D25"/>
    <w:rsid w:val="00D33658"/>
    <w:rsid w:val="00D4748C"/>
    <w:rsid w:val="00D74023"/>
    <w:rsid w:val="00DA05C0"/>
    <w:rsid w:val="00DA521F"/>
    <w:rsid w:val="00DB0BBA"/>
    <w:rsid w:val="00DB0EFA"/>
    <w:rsid w:val="00DB4BA7"/>
    <w:rsid w:val="00DC684F"/>
    <w:rsid w:val="00DD2DA1"/>
    <w:rsid w:val="00DE04DD"/>
    <w:rsid w:val="00DE58E0"/>
    <w:rsid w:val="00DF2C3C"/>
    <w:rsid w:val="00E03B55"/>
    <w:rsid w:val="00E04CE7"/>
    <w:rsid w:val="00E32B00"/>
    <w:rsid w:val="00E4306B"/>
    <w:rsid w:val="00E57634"/>
    <w:rsid w:val="00E57F06"/>
    <w:rsid w:val="00E618A7"/>
    <w:rsid w:val="00E67C1B"/>
    <w:rsid w:val="00E73A59"/>
    <w:rsid w:val="00EB692A"/>
    <w:rsid w:val="00EC2B14"/>
    <w:rsid w:val="00EC5EB6"/>
    <w:rsid w:val="00ED190A"/>
    <w:rsid w:val="00ED6FF4"/>
    <w:rsid w:val="00EE1032"/>
    <w:rsid w:val="00EE1452"/>
    <w:rsid w:val="00EE2EBC"/>
    <w:rsid w:val="00F04462"/>
    <w:rsid w:val="00F21AC5"/>
    <w:rsid w:val="00F269BD"/>
    <w:rsid w:val="00F31C19"/>
    <w:rsid w:val="00F33DC7"/>
    <w:rsid w:val="00F4240F"/>
    <w:rsid w:val="00F447AA"/>
    <w:rsid w:val="00F47DD1"/>
    <w:rsid w:val="00F63891"/>
    <w:rsid w:val="00F7192D"/>
    <w:rsid w:val="00F879D7"/>
    <w:rsid w:val="00F91FD4"/>
    <w:rsid w:val="00F95B13"/>
    <w:rsid w:val="00F96BF0"/>
    <w:rsid w:val="00FB3052"/>
    <w:rsid w:val="00FC3AE8"/>
    <w:rsid w:val="00FE222C"/>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0109-6CE1-4661-B1CD-B2B8DB1D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28</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29</cp:revision>
  <cp:lastPrinted>2019-11-14T10:35:00Z</cp:lastPrinted>
  <dcterms:created xsi:type="dcterms:W3CDTF">2019-11-12T10:10:00Z</dcterms:created>
  <dcterms:modified xsi:type="dcterms:W3CDTF">2019-11-14T10:39:00Z</dcterms:modified>
</cp:coreProperties>
</file>