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33669" w:rsidRDefault="004E48C4" w:rsidP="004E48C4">
      <w:pPr>
        <w:pStyle w:val="Default"/>
        <w:rPr>
          <w:b/>
        </w:rPr>
      </w:pPr>
      <w:r w:rsidRPr="00C5711E">
        <w:t>«УТВЕРЖДАЮ»</w:t>
      </w:r>
      <w:r w:rsidR="00C33669">
        <w:t xml:space="preserve">                                                         </w:t>
      </w:r>
      <w:r w:rsidR="00C33669" w:rsidRPr="00C33669">
        <w:rPr>
          <w:b/>
        </w:rPr>
        <w:t>ИЗМЕНЕНИЕ</w:t>
      </w:r>
    </w:p>
    <w:p w:rsidR="004E48C4" w:rsidRPr="00C33669" w:rsidRDefault="004E48C4" w:rsidP="004E48C4">
      <w:pPr>
        <w:pStyle w:val="Default"/>
        <w:rPr>
          <w:b/>
        </w:rPr>
      </w:pPr>
    </w:p>
    <w:p w:rsidR="007201D1" w:rsidRDefault="007201D1" w:rsidP="004E48C4">
      <w:pPr>
        <w:pStyle w:val="Default"/>
      </w:pPr>
      <w:r>
        <w:t>Исполнительный д</w:t>
      </w:r>
      <w:r w:rsidR="000F7AC3">
        <w:t xml:space="preserve">иректор </w:t>
      </w:r>
    </w:p>
    <w:p w:rsidR="004E48C4" w:rsidRPr="00C5711E" w:rsidRDefault="000F7AC3" w:rsidP="004E48C4">
      <w:pPr>
        <w:pStyle w:val="Default"/>
      </w:pPr>
      <w:r>
        <w:t>ООО «УЮТ - СЕРВИС</w:t>
      </w:r>
      <w:r w:rsidR="004E48C4" w:rsidRPr="00C5711E">
        <w:t>»</w:t>
      </w:r>
    </w:p>
    <w:p w:rsidR="004E48C4" w:rsidRPr="00C5711E" w:rsidRDefault="004E48C4" w:rsidP="004E48C4">
      <w:pPr>
        <w:pStyle w:val="Default"/>
      </w:pPr>
    </w:p>
    <w:p w:rsidR="004E48C4" w:rsidRPr="00C5711E" w:rsidRDefault="000F7AC3" w:rsidP="004E48C4">
      <w:pPr>
        <w:pStyle w:val="Default"/>
      </w:pPr>
      <w:r>
        <w:t>_______________</w:t>
      </w:r>
      <w:proofErr w:type="spellStart"/>
      <w:r>
        <w:t>О.Б.Манойло</w:t>
      </w:r>
      <w:proofErr w:type="spellEnd"/>
    </w:p>
    <w:p w:rsidR="004E48C4" w:rsidRPr="004E48C4" w:rsidRDefault="000F7AC3" w:rsidP="004E48C4">
      <w:pPr>
        <w:overflowPunct/>
        <w:textAlignment w:val="auto"/>
        <w:rPr>
          <w:rFonts w:eastAsia="Calibri"/>
          <w:sz w:val="24"/>
          <w:szCs w:val="24"/>
          <w:lang w:eastAsia="en-US"/>
        </w:rPr>
      </w:pPr>
      <w:r>
        <w:rPr>
          <w:sz w:val="24"/>
          <w:szCs w:val="24"/>
        </w:rPr>
        <w:t>«___»_______________2017</w:t>
      </w:r>
      <w:r w:rsidR="004E48C4"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w:t>
      </w:r>
      <w:r w:rsidR="00640C3D">
        <w:rPr>
          <w:rFonts w:eastAsia="Calibri"/>
          <w:sz w:val="24"/>
          <w:szCs w:val="24"/>
          <w:lang w:eastAsia="en-US"/>
        </w:rPr>
        <w:t>у ремонту подвала, лестниц</w:t>
      </w:r>
      <w:r w:rsidR="004E48C4">
        <w:rPr>
          <w:rFonts w:eastAsia="Calibri"/>
          <w:sz w:val="24"/>
          <w:szCs w:val="24"/>
          <w:lang w:eastAsia="en-US"/>
        </w:rPr>
        <w:t xml:space="preserve"> многоквартирного дома, расположенного по адрес</w:t>
      </w:r>
      <w:r w:rsidR="000F7AC3">
        <w:rPr>
          <w:rFonts w:eastAsia="Calibri"/>
          <w:sz w:val="24"/>
          <w:szCs w:val="24"/>
          <w:lang w:eastAsia="en-US"/>
        </w:rPr>
        <w:t xml:space="preserve">у: г. Калининград, ул. </w:t>
      </w:r>
      <w:proofErr w:type="gramStart"/>
      <w:r w:rsidR="000F7AC3">
        <w:rPr>
          <w:rFonts w:eastAsia="Calibri"/>
          <w:sz w:val="24"/>
          <w:szCs w:val="24"/>
          <w:lang w:eastAsia="en-US"/>
        </w:rPr>
        <w:t>Беговая</w:t>
      </w:r>
      <w:proofErr w:type="gramEnd"/>
      <w:r w:rsidR="000F7AC3">
        <w:rPr>
          <w:rFonts w:eastAsia="Calibri"/>
          <w:sz w:val="24"/>
          <w:szCs w:val="24"/>
          <w:lang w:eastAsia="en-US"/>
        </w:rPr>
        <w:t>, д.50-56</w:t>
      </w:r>
    </w:p>
    <w:p w:rsidR="00B34D5D" w:rsidRDefault="00B34D5D" w:rsidP="00B34D5D">
      <w:pPr>
        <w:pStyle w:val="a5"/>
        <w:spacing w:before="0" w:after="0"/>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1.2.Заказчиком является:  ООО «УЮТ-СЕРВИС»  юридический адрес - 236005   </w:t>
      </w:r>
    </w:p>
    <w:p w:rsidR="00B34D5D" w:rsidRDefault="00B34D5D" w:rsidP="00B34D5D">
      <w:pPr>
        <w:pStyle w:val="a5"/>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34D5D" w:rsidRPr="00B34D5D" w:rsidRDefault="00B34D5D" w:rsidP="00B34D5D">
      <w:pPr>
        <w:pStyle w:val="a5"/>
        <w:spacing w:before="0" w:after="0"/>
        <w:ind w:firstLine="0"/>
        <w:rPr>
          <w:rStyle w:val="a6"/>
          <w:b w:val="0"/>
          <w:bCs w:val="0"/>
          <w:lang w:val="ru-RU"/>
        </w:rPr>
      </w:pPr>
      <w:r>
        <w:rPr>
          <w:rFonts w:ascii="Times New Roman" w:hAnsi="Times New Roman"/>
          <w:sz w:val="24"/>
          <w:szCs w:val="24"/>
          <w:lang w:val="ru-RU"/>
        </w:rPr>
        <w:t xml:space="preserve">ул. П. Морозова, 49-2, тел/факс 65-42-41  т. 89019639489;          </w:t>
      </w:r>
    </w:p>
    <w:p w:rsidR="00B34D5D" w:rsidRPr="00B34D5D" w:rsidRDefault="00B34D5D" w:rsidP="00B34D5D">
      <w:pPr>
        <w:pStyle w:val="a5"/>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140EE5" w:rsidRDefault="009D3B3C" w:rsidP="00140EE5">
      <w:pPr>
        <w:pStyle w:val="Default"/>
        <w:jc w:val="both"/>
      </w:pPr>
      <w:r w:rsidRPr="00105DF5">
        <w:t xml:space="preserve">1.4. </w:t>
      </w:r>
      <w:r w:rsidR="00140EE5" w:rsidRPr="00E87766">
        <w:t>Начальная (максимальная</w:t>
      </w:r>
      <w:r w:rsidR="00140EE5">
        <w:t>) цена договора подряда: 2104471 (два миллиона сто  четыре тысячи четыреста семьдесят один) рубль, в том числе НДС 18%: 321021 (триста двадцать одна тысяча двадцать один рубль) рубль 00</w:t>
      </w:r>
      <w:r w:rsidR="00140EE5" w:rsidRPr="00E87766">
        <w:t xml:space="preserve"> копеек</w:t>
      </w:r>
      <w:r w:rsidR="00140EE5">
        <w:t>.</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DE0E66">
        <w:rPr>
          <w:color w:val="FF0000"/>
        </w:rPr>
        <w:t xml:space="preserve">40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140EE5">
        <w:rPr>
          <w:rFonts w:eastAsia="Calibri"/>
          <w:color w:val="FF0000"/>
          <w:sz w:val="24"/>
          <w:szCs w:val="24"/>
          <w:lang w:eastAsia="en-US"/>
        </w:rPr>
        <w:t xml:space="preserve">"10"  мая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140EE5">
        <w:rPr>
          <w:sz w:val="24"/>
          <w:szCs w:val="24"/>
        </w:rPr>
        <w:t xml:space="preserve">  63134  (шестьдесят три тысячи сто тридцать четыре) рубля 13</w:t>
      </w:r>
      <w:r w:rsidR="00140EE5" w:rsidRPr="003F71DB">
        <w:rPr>
          <w:sz w:val="24"/>
          <w:szCs w:val="24"/>
        </w:rPr>
        <w:t xml:space="preserve"> копе</w:t>
      </w:r>
      <w:r w:rsidR="00140EE5">
        <w:rPr>
          <w:sz w:val="24"/>
          <w:szCs w:val="24"/>
        </w:rPr>
        <w:t>ек</w:t>
      </w:r>
      <w:r w:rsidR="00140EE5" w:rsidRPr="00F358D2">
        <w:rPr>
          <w:sz w:val="24"/>
          <w:szCs w:val="24"/>
        </w:rPr>
        <w:t xml:space="preserve"> </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3.1.10. справка из налогового органа</w:t>
      </w:r>
      <w:r>
        <w:rPr>
          <w:rFonts w:eastAsia="Calibri"/>
          <w:sz w:val="24"/>
          <w:szCs w:val="24"/>
          <w:lang w:eastAsia="en-US"/>
        </w:rPr>
        <w:t xml:space="preserve"> (код по КНД 1120101)</w:t>
      </w:r>
      <w:r w:rsidRPr="00105DF5">
        <w:rPr>
          <w:rFonts w:eastAsia="Calibri"/>
          <w:sz w:val="24"/>
          <w:szCs w:val="24"/>
          <w:lang w:eastAsia="en-US"/>
        </w:rPr>
        <w:t xml:space="preserve"> и пенсионного фонда</w:t>
      </w:r>
      <w:r w:rsidRPr="00105DF5">
        <w:rPr>
          <w:rFonts w:eastAsia="Calibri"/>
          <w:b/>
          <w:sz w:val="24"/>
          <w:szCs w:val="24"/>
          <w:lang w:eastAsia="en-US"/>
        </w:rPr>
        <w:t xml:space="preserve"> </w:t>
      </w:r>
      <w:r w:rsidRPr="00105DF5">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105DF5">
        <w:rPr>
          <w:rFonts w:eastAsia="Calibri"/>
          <w:sz w:val="24"/>
          <w:szCs w:val="24"/>
          <w:lang w:eastAsia="en-US"/>
        </w:rPr>
        <w:t>ов</w:t>
      </w:r>
      <w:proofErr w:type="spellEnd"/>
      <w:r w:rsidRPr="00105DF5">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w:t>
      </w:r>
      <w:r w:rsidRPr="00105DF5">
        <w:rPr>
          <w:rFonts w:eastAsia="Calibri"/>
          <w:sz w:val="24"/>
          <w:szCs w:val="24"/>
          <w:lang w:eastAsia="en-US"/>
        </w:rPr>
        <w:lastRenderedPageBreak/>
        <w:t xml:space="preserve">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105DF5">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w:t>
            </w:r>
            <w:r w:rsidRPr="00105DF5">
              <w:rPr>
                <w:rFonts w:eastAsia="Calibri"/>
                <w:sz w:val="24"/>
                <w:szCs w:val="24"/>
                <w:lang w:eastAsia="en-US"/>
              </w:rPr>
              <w:lastRenderedPageBreak/>
              <w:t>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lastRenderedPageBreak/>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bookmarkStart w:id="1" w:name="_GoBack"/>
      <w:bookmarkEnd w:id="1"/>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lastRenderedPageBreak/>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Pr>
          <w:rFonts w:eastAsia="Calibri"/>
          <w:sz w:val="24"/>
          <w:szCs w:val="24"/>
          <w:lang w:eastAsia="en-US"/>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7AC3"/>
    <w:rsid w:val="000F7F66"/>
    <w:rsid w:val="00140EE5"/>
    <w:rsid w:val="001E081C"/>
    <w:rsid w:val="002E497E"/>
    <w:rsid w:val="004E48C4"/>
    <w:rsid w:val="00580F71"/>
    <w:rsid w:val="00640C3D"/>
    <w:rsid w:val="007108CE"/>
    <w:rsid w:val="00715A2E"/>
    <w:rsid w:val="007201D1"/>
    <w:rsid w:val="0074772D"/>
    <w:rsid w:val="00780D3C"/>
    <w:rsid w:val="00840DEA"/>
    <w:rsid w:val="009D3B3C"/>
    <w:rsid w:val="00A529FB"/>
    <w:rsid w:val="00A602E8"/>
    <w:rsid w:val="00B34D5D"/>
    <w:rsid w:val="00B703A7"/>
    <w:rsid w:val="00C33669"/>
    <w:rsid w:val="00CC7C27"/>
    <w:rsid w:val="00D23DFB"/>
    <w:rsid w:val="00DE0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10186</Words>
  <Characters>58065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12</cp:revision>
  <cp:lastPrinted>2017-03-01T13:19:00Z</cp:lastPrinted>
  <dcterms:created xsi:type="dcterms:W3CDTF">2017-03-17T12:39:00Z</dcterms:created>
  <dcterms:modified xsi:type="dcterms:W3CDTF">2017-04-04T12:20:00Z</dcterms:modified>
</cp:coreProperties>
</file>