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0E" w:rsidRPr="005C6FF1" w:rsidRDefault="00FD3C0E" w:rsidP="00FD3C0E">
      <w:pPr>
        <w:pStyle w:val="Default"/>
        <w:jc w:val="both"/>
        <w:rPr>
          <w:sz w:val="28"/>
          <w:szCs w:val="28"/>
        </w:rPr>
      </w:pPr>
      <w:r>
        <w:rPr>
          <w:sz w:val="28"/>
          <w:szCs w:val="28"/>
        </w:rPr>
        <w:t xml:space="preserve">                                                                                       </w:t>
      </w:r>
      <w:r w:rsidRPr="005C6FF1">
        <w:rPr>
          <w:sz w:val="28"/>
          <w:szCs w:val="28"/>
        </w:rPr>
        <w:t>Утверждаю</w:t>
      </w:r>
    </w:p>
    <w:p w:rsidR="00FD3C0E" w:rsidRPr="006E516E" w:rsidRDefault="00FD3C0E" w:rsidP="00FD3C0E">
      <w:pPr>
        <w:pStyle w:val="Default"/>
        <w:jc w:val="both"/>
      </w:pPr>
      <w:r>
        <w:t xml:space="preserve">                                                                                           </w:t>
      </w:r>
      <w:r>
        <w:tab/>
      </w:r>
      <w:r w:rsidRPr="006E516E">
        <w:t>Директор ООО «Ж</w:t>
      </w:r>
      <w:r>
        <w:t xml:space="preserve">ЭУ № 12 </w:t>
      </w:r>
      <w:proofErr w:type="gramStart"/>
      <w:r>
        <w:t>Ц</w:t>
      </w:r>
      <w:proofErr w:type="gramEnd"/>
      <w:r w:rsidRPr="006E516E">
        <w:t>»</w:t>
      </w:r>
    </w:p>
    <w:p w:rsidR="00FD3C0E" w:rsidRPr="006E516E" w:rsidRDefault="00FD3C0E" w:rsidP="00FD3C0E">
      <w:pPr>
        <w:pStyle w:val="Default"/>
        <w:jc w:val="both"/>
      </w:pPr>
      <w:r>
        <w:t xml:space="preserve">                                                                                           </w:t>
      </w:r>
      <w:r>
        <w:tab/>
        <w:t xml:space="preserve">Г.В. </w:t>
      </w:r>
      <w:proofErr w:type="spellStart"/>
      <w:r>
        <w:t>Марчихина</w:t>
      </w:r>
      <w:proofErr w:type="spellEnd"/>
      <w:r>
        <w:t>.</w:t>
      </w:r>
      <w:r w:rsidRPr="006E516E">
        <w:t>__________________</w:t>
      </w:r>
    </w:p>
    <w:p w:rsidR="00FD3C0E" w:rsidRPr="006E516E" w:rsidRDefault="00FD3C0E" w:rsidP="00FD3C0E">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Pr="001D1C30">
        <w:t>(замене) участка газопровода - ввода</w:t>
      </w:r>
      <w:r>
        <w:rPr>
          <w:color w:val="auto"/>
        </w:rPr>
        <w:t xml:space="preserve"> МКД №3 по ул. Офицерская </w:t>
      </w:r>
      <w:r w:rsidRPr="008E7F89">
        <w:rPr>
          <w:color w:val="auto"/>
        </w:rPr>
        <w:t>г</w:t>
      </w:r>
      <w:proofErr w:type="gramStart"/>
      <w:r w:rsidRPr="008E7F89">
        <w:rPr>
          <w:color w:val="auto"/>
        </w:rPr>
        <w:t>.К</w:t>
      </w:r>
      <w:proofErr w:type="gramEnd"/>
      <w:r w:rsidRPr="008E7F89">
        <w:rPr>
          <w:color w:val="auto"/>
        </w:rPr>
        <w:t>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FD3C0E" w:rsidRPr="008E7F89" w:rsidRDefault="00FD3C0E" w:rsidP="00FD3C0E">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proofErr w:type="gramStart"/>
      <w:r w:rsidRPr="008E7F89">
        <w:rPr>
          <w:sz w:val="24"/>
          <w:szCs w:val="24"/>
        </w:rPr>
        <w:t xml:space="preserve">Физический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rPr>
        <w:t>103 752 (сто три тысячи семьсот пятьдесят два) рубля</w:t>
      </w:r>
      <w:r w:rsidRPr="0029141B">
        <w:rPr>
          <w:b/>
        </w:rPr>
        <w:t>, в том числе НДС</w:t>
      </w:r>
      <w:r>
        <w:rPr>
          <w:b/>
        </w:rPr>
        <w:t xml:space="preserve"> 18% 15 826(пятнадцать тысяч восемьсот двадцать шесть) рублей 58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049D6">
        <w:rPr>
          <w:color w:val="auto"/>
        </w:rPr>
        <w:t>2</w:t>
      </w:r>
      <w:r w:rsidR="006F4A3A">
        <w:rPr>
          <w:color w:val="auto"/>
        </w:rPr>
        <w:t>5</w:t>
      </w:r>
      <w:r w:rsidRPr="008E7F89">
        <w:rPr>
          <w:color w:val="auto"/>
        </w:rPr>
        <w:t xml:space="preserve">" </w:t>
      </w:r>
      <w:r w:rsidR="006F4A3A">
        <w:rPr>
          <w:color w:val="auto"/>
        </w:rPr>
        <w:t>августа</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B2D7C"/>
    <w:rsid w:val="001C556D"/>
    <w:rsid w:val="002F2E53"/>
    <w:rsid w:val="003011E9"/>
    <w:rsid w:val="003C7FC1"/>
    <w:rsid w:val="00497D15"/>
    <w:rsid w:val="005049D6"/>
    <w:rsid w:val="006D355C"/>
    <w:rsid w:val="006F4A3A"/>
    <w:rsid w:val="007A5865"/>
    <w:rsid w:val="00834AF6"/>
    <w:rsid w:val="0084720E"/>
    <w:rsid w:val="009C42AF"/>
    <w:rsid w:val="009D2674"/>
    <w:rsid w:val="00A72196"/>
    <w:rsid w:val="00CB2250"/>
    <w:rsid w:val="00DB76B9"/>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5267</Words>
  <Characters>30026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2</cp:revision>
  <cp:lastPrinted>2014-06-17T14:16:00Z</cp:lastPrinted>
  <dcterms:created xsi:type="dcterms:W3CDTF">2014-07-24T06:06:00Z</dcterms:created>
  <dcterms:modified xsi:type="dcterms:W3CDTF">2014-07-24T06:06:00Z</dcterms:modified>
</cp:coreProperties>
</file>