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91" w:rsidRDefault="00784A91" w:rsidP="00F358D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«УТВЕРЖДАЮ»</w:t>
      </w:r>
    </w:p>
    <w:p w:rsidR="00784A91" w:rsidRDefault="00784A9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Генеральный директор ООО «УЮТ»</w:t>
      </w:r>
    </w:p>
    <w:p w:rsidR="00784A91" w:rsidRDefault="00784A9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______________Н.С. Баранова</w:t>
      </w:r>
    </w:p>
    <w:p w:rsidR="00784A91" w:rsidRDefault="00784A9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784A91" w:rsidRPr="004F7DE8" w:rsidRDefault="00784A91"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«____»__________2016г.</w:t>
      </w:r>
    </w:p>
    <w:p w:rsidR="00784A91" w:rsidRDefault="00784A91" w:rsidP="00F358D2">
      <w:pPr>
        <w:autoSpaceDE w:val="0"/>
        <w:autoSpaceDN w:val="0"/>
        <w:adjustRightInd w:val="0"/>
        <w:spacing w:after="0" w:line="240" w:lineRule="auto"/>
        <w:jc w:val="center"/>
        <w:rPr>
          <w:rFonts w:ascii="Times New Roman" w:hAnsi="Times New Roman"/>
          <w:sz w:val="24"/>
          <w:szCs w:val="24"/>
        </w:rPr>
      </w:pPr>
    </w:p>
    <w:p w:rsidR="00784A91" w:rsidRDefault="00784A91" w:rsidP="00F358D2">
      <w:pPr>
        <w:autoSpaceDE w:val="0"/>
        <w:autoSpaceDN w:val="0"/>
        <w:adjustRightInd w:val="0"/>
        <w:spacing w:after="0" w:line="240" w:lineRule="auto"/>
        <w:jc w:val="center"/>
        <w:rPr>
          <w:rFonts w:ascii="Times New Roman" w:hAnsi="Times New Roman"/>
          <w:sz w:val="24"/>
          <w:szCs w:val="24"/>
        </w:rPr>
      </w:pPr>
    </w:p>
    <w:p w:rsidR="00784A91"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 многоквартирных домов</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Pr>
          <w:rFonts w:ascii="Times New Roman" w:hAnsi="Times New Roman"/>
          <w:sz w:val="24"/>
          <w:szCs w:val="24"/>
        </w:rPr>
        <w:t xml:space="preserve">фасада  </w:t>
      </w:r>
      <w:r w:rsidRPr="00F358D2">
        <w:rPr>
          <w:rFonts w:ascii="Times New Roman" w:hAnsi="Times New Roman"/>
          <w:sz w:val="24"/>
          <w:szCs w:val="24"/>
        </w:rPr>
        <w:t xml:space="preserve">МКД № </w:t>
      </w:r>
      <w:r>
        <w:rPr>
          <w:rFonts w:ascii="Times New Roman" w:hAnsi="Times New Roman"/>
          <w:sz w:val="24"/>
          <w:szCs w:val="24"/>
        </w:rPr>
        <w:t>3</w:t>
      </w:r>
      <w:r w:rsidRPr="00F358D2">
        <w:rPr>
          <w:rFonts w:ascii="Times New Roman" w:hAnsi="Times New Roman"/>
          <w:sz w:val="24"/>
          <w:szCs w:val="24"/>
        </w:rPr>
        <w:t xml:space="preserve"> по ул. </w:t>
      </w:r>
      <w:r>
        <w:rPr>
          <w:rFonts w:ascii="Times New Roman" w:hAnsi="Times New Roman"/>
          <w:sz w:val="24"/>
          <w:szCs w:val="24"/>
        </w:rPr>
        <w:t xml:space="preserve">Космонавта Пацаева </w:t>
      </w:r>
      <w:r w:rsidRPr="00F358D2">
        <w:rPr>
          <w:rFonts w:ascii="Times New Roman" w:hAnsi="Times New Roman"/>
          <w:sz w:val="24"/>
          <w:szCs w:val="24"/>
        </w:rPr>
        <w:t>г. Калининграда.</w:t>
      </w:r>
    </w:p>
    <w:p w:rsidR="00784A91" w:rsidRPr="00F358D2" w:rsidRDefault="00784A91"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1.2. Заказчиком является: </w:t>
      </w:r>
      <w:r>
        <w:rPr>
          <w:rFonts w:ascii="Times New Roman" w:hAnsi="Times New Roman"/>
          <w:sz w:val="24"/>
          <w:szCs w:val="24"/>
          <w:lang w:eastAsia="ru-RU"/>
        </w:rPr>
        <w:t>ООО «УЮТ», ИНН: 3904604139; КПП: 390601001, генеральный директор Баранова Н.С.</w:t>
      </w:r>
    </w:p>
    <w:p w:rsidR="00784A91" w:rsidRPr="00F358D2" w:rsidRDefault="00784A91"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Юридический адрес: </w:t>
      </w:r>
      <w:smartTag w:uri="urn:schemas-microsoft-com:office:smarttags" w:element="metricconverter">
        <w:smartTagPr>
          <w:attr w:name="ProductID" w:val="236022 г"/>
        </w:smartTagPr>
        <w:r>
          <w:rPr>
            <w:rFonts w:ascii="Times New Roman" w:hAnsi="Times New Roman"/>
            <w:sz w:val="24"/>
            <w:szCs w:val="24"/>
            <w:lang w:eastAsia="ru-RU"/>
          </w:rPr>
          <w:t>236022 г</w:t>
        </w:r>
      </w:smartTag>
      <w:r>
        <w:rPr>
          <w:rFonts w:ascii="Times New Roman" w:hAnsi="Times New Roman"/>
          <w:sz w:val="24"/>
          <w:szCs w:val="24"/>
          <w:lang w:eastAsia="ru-RU"/>
        </w:rPr>
        <w:t>. Калининград, ул. Мусорского, 10 корпус 8, 4 этаж, т/факс 21-15-91.</w:t>
      </w:r>
    </w:p>
    <w:p w:rsidR="00784A91" w:rsidRPr="00F358D2" w:rsidRDefault="00784A91" w:rsidP="00AA31CE">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Физический адрес: </w:t>
      </w:r>
      <w:smartTag w:uri="urn:schemas-microsoft-com:office:smarttags" w:element="metricconverter">
        <w:smartTagPr>
          <w:attr w:name="ProductID" w:val="236022 г"/>
        </w:smartTagPr>
        <w:r>
          <w:rPr>
            <w:rFonts w:ascii="Times New Roman" w:hAnsi="Times New Roman"/>
            <w:sz w:val="24"/>
            <w:szCs w:val="24"/>
            <w:lang w:eastAsia="ru-RU"/>
          </w:rPr>
          <w:t>236022 г</w:t>
        </w:r>
      </w:smartTag>
      <w:r>
        <w:rPr>
          <w:rFonts w:ascii="Times New Roman" w:hAnsi="Times New Roman"/>
          <w:sz w:val="24"/>
          <w:szCs w:val="24"/>
          <w:lang w:eastAsia="ru-RU"/>
        </w:rPr>
        <w:t>. Калининград, ул. Мусорского, 10 корпус 8, 4 этаж, т/факс 21-15-91.</w:t>
      </w:r>
    </w:p>
    <w:p w:rsidR="00784A91" w:rsidRPr="00F358D2" w:rsidRDefault="00784A91"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5"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ru</w:t>
        </w:r>
      </w:hyperlink>
      <w:r w:rsidRPr="00F358D2">
        <w:rPr>
          <w:rFonts w:ascii="Times New Roman" w:hAnsi="Times New Roman"/>
          <w:sz w:val="24"/>
          <w:szCs w:val="24"/>
          <w:lang w:eastAsia="ru-RU"/>
        </w:rPr>
        <w:t>, т. (4012) 92-35-11 по проведению конкурса, ф. 46-96-21.</w:t>
      </w:r>
    </w:p>
    <w:p w:rsidR="00784A91" w:rsidRPr="00F358D2" w:rsidRDefault="00784A91" w:rsidP="00C8148A">
      <w:pPr>
        <w:autoSpaceDE w:val="0"/>
        <w:autoSpaceDN w:val="0"/>
        <w:adjustRightInd w:val="0"/>
        <w:spacing w:after="0" w:line="240" w:lineRule="auto"/>
        <w:jc w:val="both"/>
        <w:rPr>
          <w:rFonts w:ascii="Times New Roman" w:hAnsi="Times New Roman"/>
          <w:color w:val="000000"/>
          <w:sz w:val="24"/>
          <w:szCs w:val="24"/>
        </w:rPr>
      </w:pPr>
      <w:r w:rsidRPr="00F358D2">
        <w:rPr>
          <w:rFonts w:ascii="Times New Roman" w:hAnsi="Times New Roman"/>
          <w:color w:val="000000"/>
          <w:sz w:val="24"/>
          <w:szCs w:val="24"/>
        </w:rPr>
        <w:t xml:space="preserve">1.4. </w:t>
      </w:r>
      <w:r w:rsidRPr="00121384">
        <w:rPr>
          <w:rFonts w:ascii="Times New Roman" w:hAnsi="Times New Roman"/>
          <w:b/>
          <w:color w:val="000000"/>
          <w:sz w:val="24"/>
          <w:szCs w:val="24"/>
        </w:rPr>
        <w:t>Начальная (максимальная) цена договора подряда</w:t>
      </w:r>
      <w:r>
        <w:rPr>
          <w:rFonts w:ascii="Times New Roman" w:hAnsi="Times New Roman"/>
          <w:b/>
          <w:color w:val="000000"/>
          <w:sz w:val="24"/>
          <w:szCs w:val="24"/>
        </w:rPr>
        <w:t xml:space="preserve"> </w:t>
      </w:r>
      <w:r>
        <w:rPr>
          <w:rFonts w:ascii="Times New Roman" w:hAnsi="Times New Roman"/>
          <w:color w:val="000000"/>
          <w:sz w:val="24"/>
          <w:szCs w:val="24"/>
        </w:rPr>
        <w:t>2 820 205(два миллиона восемьсот двадцать тысяч двести пять) рублей, в том числе НДС на материалы и эксплуатацию машин</w:t>
      </w:r>
      <w:r w:rsidRPr="00F358D2">
        <w:rPr>
          <w:rFonts w:ascii="Times New Roman" w:hAnsi="Times New Roman"/>
          <w:color w:val="000000"/>
          <w:sz w:val="24"/>
          <w:szCs w:val="24"/>
        </w:rPr>
        <w:t xml:space="preserve">: </w:t>
      </w:r>
      <w:r>
        <w:rPr>
          <w:rFonts w:ascii="Times New Roman" w:hAnsi="Times New Roman"/>
          <w:color w:val="000000"/>
          <w:sz w:val="24"/>
          <w:szCs w:val="24"/>
        </w:rPr>
        <w:t xml:space="preserve"> 121 442</w:t>
      </w:r>
      <w:r w:rsidRPr="00F358D2">
        <w:rPr>
          <w:rFonts w:ascii="Times New Roman" w:hAnsi="Times New Roman"/>
          <w:color w:val="000000"/>
          <w:sz w:val="24"/>
          <w:szCs w:val="24"/>
        </w:rPr>
        <w:t xml:space="preserve"> (</w:t>
      </w:r>
      <w:r>
        <w:rPr>
          <w:rFonts w:ascii="Times New Roman" w:hAnsi="Times New Roman"/>
          <w:color w:val="000000"/>
          <w:sz w:val="24"/>
          <w:szCs w:val="24"/>
        </w:rPr>
        <w:t>сто двадцать одна тысяча четыреста сорок два) рубля.</w:t>
      </w:r>
    </w:p>
    <w:p w:rsidR="00784A91" w:rsidRPr="00F358D2" w:rsidRDefault="00784A91"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28</w:t>
      </w:r>
      <w:r w:rsidRPr="00F358D2">
        <w:rPr>
          <w:rFonts w:ascii="Times New Roman" w:hAnsi="Times New Roman"/>
          <w:sz w:val="24"/>
          <w:szCs w:val="24"/>
        </w:rPr>
        <w:t xml:space="preserve">" </w:t>
      </w:r>
      <w:r>
        <w:rPr>
          <w:rFonts w:ascii="Times New Roman" w:hAnsi="Times New Roman"/>
          <w:sz w:val="24"/>
          <w:szCs w:val="24"/>
        </w:rPr>
        <w:t>марта</w:t>
      </w:r>
      <w:r w:rsidRPr="00F358D2">
        <w:rPr>
          <w:rFonts w:ascii="Times New Roman" w:hAnsi="Times New Roman"/>
          <w:sz w:val="24"/>
          <w:szCs w:val="24"/>
        </w:rPr>
        <w:t xml:space="preserve"> 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не позднее, чем за 30 дней до даты проведения конкурса.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w:t>
      </w:r>
      <w:r w:rsidRPr="00121384">
        <w:rPr>
          <w:rFonts w:ascii="Times New Roman" w:hAnsi="Times New Roman"/>
          <w:b/>
          <w:sz w:val="24"/>
          <w:szCs w:val="24"/>
        </w:rPr>
        <w:t>Участники конкурса должны перечислить сумму в размере</w:t>
      </w:r>
      <w:r w:rsidRPr="00F358D2">
        <w:rPr>
          <w:rFonts w:ascii="Times New Roman" w:hAnsi="Times New Roman"/>
          <w:sz w:val="24"/>
          <w:szCs w:val="24"/>
        </w:rPr>
        <w:t xml:space="preserve"> </w:t>
      </w:r>
      <w:r>
        <w:rPr>
          <w:rFonts w:ascii="Times New Roman" w:hAnsi="Times New Roman"/>
          <w:sz w:val="24"/>
          <w:szCs w:val="24"/>
        </w:rPr>
        <w:t>141 010</w:t>
      </w:r>
      <w:r w:rsidRPr="00F358D2">
        <w:rPr>
          <w:rFonts w:ascii="Times New Roman" w:hAnsi="Times New Roman"/>
          <w:sz w:val="24"/>
          <w:szCs w:val="24"/>
        </w:rPr>
        <w:t xml:space="preserve"> (</w:t>
      </w:r>
      <w:r>
        <w:rPr>
          <w:rFonts w:ascii="Times New Roman" w:hAnsi="Times New Roman"/>
          <w:sz w:val="24"/>
          <w:szCs w:val="24"/>
        </w:rPr>
        <w:t>сто сорок одна тысяча десять) рублей 25 копеек</w:t>
      </w:r>
      <w:r w:rsidRPr="00F358D2">
        <w:rPr>
          <w:rFonts w:ascii="Times New Roman" w:hAnsi="Times New Roman"/>
          <w:sz w:val="24"/>
          <w:szCs w:val="24"/>
        </w:rPr>
        <w:t xml:space="preserve"> (</w:t>
      </w:r>
      <w:r>
        <w:rPr>
          <w:rFonts w:ascii="Times New Roman" w:hAnsi="Times New Roman"/>
          <w:sz w:val="24"/>
          <w:szCs w:val="24"/>
        </w:rPr>
        <w:t>5</w:t>
      </w:r>
      <w:r w:rsidRPr="00F358D2">
        <w:rPr>
          <w:rFonts w:ascii="Times New Roman" w:hAnsi="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в десятидневный срок с даты вскрытия конвертов. </w:t>
      </w:r>
    </w:p>
    <w:p w:rsidR="00784A91" w:rsidRPr="00DE2585" w:rsidRDefault="00784A91" w:rsidP="008514CA">
      <w:pPr>
        <w:spacing w:line="276" w:lineRule="auto"/>
        <w:jc w:val="both"/>
        <w:rPr>
          <w:rFonts w:ascii="Times New Roman" w:hAnsi="Times New Roman"/>
          <w:sz w:val="24"/>
          <w:szCs w:val="24"/>
        </w:rPr>
      </w:pPr>
      <w:r w:rsidRPr="00F358D2">
        <w:rPr>
          <w:rFonts w:ascii="Times New Roman" w:hAnsi="Times New Roman"/>
          <w:sz w:val="24"/>
          <w:szCs w:val="24"/>
        </w:rPr>
        <w:t>1.11. Договор подряда с победителем конкурса заключается по форме согласно приложению N</w:t>
      </w:r>
      <w:r>
        <w:rPr>
          <w:rFonts w:ascii="Times New Roman" w:hAnsi="Times New Roman"/>
          <w:sz w:val="24"/>
          <w:szCs w:val="24"/>
        </w:rPr>
        <w:t>6</w:t>
      </w:r>
      <w:r w:rsidRPr="00F358D2">
        <w:rPr>
          <w:rFonts w:ascii="Times New Roman" w:hAnsi="Times New Roman"/>
          <w:sz w:val="24"/>
          <w:szCs w:val="24"/>
        </w:rPr>
        <w:t xml:space="preserve"> к конкурсной документации в десятидневный срок с даты опубликования результатов конкурса. </w:t>
      </w:r>
      <w:r w:rsidRPr="00DE2585">
        <w:rPr>
          <w:rFonts w:ascii="Times New Roman" w:hAnsi="Times New Roman"/>
          <w:sz w:val="24"/>
          <w:szCs w:val="24"/>
        </w:rPr>
        <w:t>При этом договор заключается только после предоставления победителем конкурса обеспечения исполнения договора-</w:t>
      </w:r>
      <w:r w:rsidRPr="00DE2585">
        <w:rPr>
          <w:rFonts w:ascii="Times New Roman" w:hAnsi="Times New Roman"/>
          <w:kern w:val="3"/>
          <w:sz w:val="24"/>
          <w:szCs w:val="24"/>
        </w:rPr>
        <w:t xml:space="preserve">  предоставлением банковской гарантии, </w:t>
      </w:r>
      <w:r w:rsidRPr="00DE2585">
        <w:rPr>
          <w:rFonts w:ascii="Times New Roman" w:hAnsi="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DE2585">
        <w:rPr>
          <w:rFonts w:ascii="Times New Roman" w:hAnsi="Times New Roman"/>
          <w:kern w:val="3"/>
          <w:sz w:val="24"/>
          <w:szCs w:val="24"/>
        </w:rPr>
        <w:t xml:space="preserve"> передачи заказчику в залог денежных средств</w:t>
      </w:r>
      <w:r>
        <w:rPr>
          <w:rFonts w:ascii="Times New Roman" w:hAnsi="Times New Roman"/>
          <w:kern w:val="3"/>
          <w:sz w:val="24"/>
          <w:szCs w:val="24"/>
        </w:rPr>
        <w:t xml:space="preserve"> или страхованием работ по договору</w:t>
      </w:r>
      <w:r w:rsidRPr="00DE2585">
        <w:rPr>
          <w:rFonts w:ascii="Times New Roman" w:hAnsi="Times New Roman"/>
          <w:kern w:val="3"/>
          <w:sz w:val="24"/>
          <w:szCs w:val="24"/>
        </w:rPr>
        <w:t>.</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84A91" w:rsidRPr="00DE2585" w:rsidRDefault="00784A91"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84A91" w:rsidRPr="00DE2585" w:rsidRDefault="00784A91"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784A91" w:rsidRPr="00DE2585" w:rsidRDefault="00784A91"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84A91" w:rsidRPr="00DE2585" w:rsidRDefault="00784A91"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84A91" w:rsidRDefault="00784A91"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784A91" w:rsidRPr="00F358D2" w:rsidRDefault="00784A91"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784A91" w:rsidRPr="00F358D2" w:rsidRDefault="00784A91"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sz w:val="24"/>
          <w:szCs w:val="24"/>
          <w:lang w:val="en-US" w:eastAsia="ru-RU"/>
        </w:rPr>
        <w:t>mkukrmkd</w:t>
      </w:r>
      <w:r w:rsidRPr="00F358D2">
        <w:rPr>
          <w:rFonts w:ascii="Times New Roman" w:hAnsi="Times New Roman"/>
          <w:sz w:val="24"/>
          <w:szCs w:val="24"/>
          <w:lang w:eastAsia="ru-RU"/>
        </w:rPr>
        <w:t>@</w:t>
      </w:r>
      <w:r w:rsidRPr="00F358D2">
        <w:rPr>
          <w:rFonts w:ascii="Times New Roman" w:hAnsi="Times New Roman"/>
          <w:sz w:val="24"/>
          <w:szCs w:val="24"/>
          <w:lang w:val="en-US" w:eastAsia="ru-RU"/>
        </w:rPr>
        <w:t>klgd</w:t>
      </w:r>
      <w:r w:rsidRPr="00F358D2">
        <w:rPr>
          <w:rFonts w:ascii="Times New Roman" w:hAnsi="Times New Roman"/>
          <w:sz w:val="24"/>
          <w:szCs w:val="24"/>
          <w:lang w:eastAsia="ru-RU"/>
        </w:rPr>
        <w:t>.</w:t>
      </w:r>
      <w:r w:rsidRPr="00F358D2">
        <w:rPr>
          <w:rFonts w:ascii="Times New Roman" w:hAnsi="Times New Roman"/>
          <w:sz w:val="24"/>
          <w:szCs w:val="24"/>
          <w:lang w:val="en-US" w:eastAsia="ru-RU"/>
        </w:rPr>
        <w:t>ru</w:t>
      </w:r>
      <w:r w:rsidRPr="00F358D2">
        <w:rPr>
          <w:rFonts w:ascii="Times New Roman" w:hAnsi="Times New Roman"/>
          <w:sz w:val="24"/>
          <w:szCs w:val="24"/>
          <w:lang w:eastAsia="ru-RU"/>
        </w:rPr>
        <w:t>.</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784A91" w:rsidRPr="00F358D2" w:rsidRDefault="00784A91"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84A91" w:rsidRPr="00F358D2" w:rsidRDefault="00784A91"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84A91" w:rsidRPr="00F358D2" w:rsidRDefault="00784A91"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84A91" w:rsidRPr="00F358D2" w:rsidRDefault="00784A91"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sz w:val="24"/>
          <w:szCs w:val="24"/>
        </w:rPr>
        <w:t>.</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84A91" w:rsidRPr="00F358D2" w:rsidRDefault="00784A91"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84A91" w:rsidRPr="00F358D2" w:rsidRDefault="00784A91"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84A91" w:rsidRPr="00F358D2" w:rsidRDefault="00784A91"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784A91" w:rsidRPr="00F358D2" w:rsidRDefault="00784A91"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84A91" w:rsidRPr="00A8454F" w:rsidTr="00C00BF6">
        <w:trPr>
          <w:trHeight w:val="247"/>
          <w:jc w:val="center"/>
        </w:trPr>
        <w:tc>
          <w:tcPr>
            <w:tcW w:w="95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84A91" w:rsidRPr="00A8454F" w:rsidTr="00C00BF6">
        <w:trPr>
          <w:trHeight w:val="307"/>
          <w:jc w:val="center"/>
        </w:trPr>
        <w:tc>
          <w:tcPr>
            <w:tcW w:w="959"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84A91" w:rsidRPr="00F358D2" w:rsidRDefault="00784A91" w:rsidP="00F358D2">
      <w:pPr>
        <w:ind w:firstLine="708"/>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84A91" w:rsidRPr="00F358D2" w:rsidRDefault="00784A91"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784A91" w:rsidRPr="00F358D2" w:rsidRDefault="00784A91"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84A91" w:rsidRPr="00A8454F" w:rsidTr="00C00BF6">
        <w:trPr>
          <w:trHeight w:val="247"/>
          <w:jc w:val="center"/>
        </w:trPr>
        <w:tc>
          <w:tcPr>
            <w:tcW w:w="95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84A91" w:rsidRPr="00A8454F" w:rsidTr="00C00BF6">
        <w:trPr>
          <w:trHeight w:val="307"/>
          <w:jc w:val="center"/>
        </w:trPr>
        <w:tc>
          <w:tcPr>
            <w:tcW w:w="959"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84A91" w:rsidRPr="00A8454F" w:rsidTr="00C00BF6">
        <w:trPr>
          <w:trHeight w:val="109"/>
          <w:jc w:val="center"/>
        </w:trPr>
        <w:tc>
          <w:tcPr>
            <w:tcW w:w="9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84A91" w:rsidRPr="00F358D2" w:rsidRDefault="00784A91" w:rsidP="00F358D2">
      <w:pPr>
        <w:rPr>
          <w:rFonts w:ascii="Times New Roman" w:hAnsi="Times New Roman"/>
          <w:sz w:val="24"/>
          <w:szCs w:val="24"/>
        </w:rPr>
      </w:pP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84A91" w:rsidRPr="00F358D2" w:rsidRDefault="00784A91" w:rsidP="00F358D2">
      <w:pPr>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784A91" w:rsidRPr="00F358D2" w:rsidRDefault="00784A91"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784A91" w:rsidRPr="00F358D2" w:rsidRDefault="00784A91"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784A91" w:rsidRPr="00F358D2" w:rsidRDefault="00784A91"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784A91" w:rsidRPr="00A8454F" w:rsidTr="00C00BF6">
        <w:trPr>
          <w:trHeight w:val="434"/>
          <w:jc w:val="center"/>
        </w:trPr>
        <w:tc>
          <w:tcPr>
            <w:tcW w:w="566"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784A91" w:rsidRPr="00A8454F" w:rsidTr="00C00BF6">
        <w:trPr>
          <w:trHeight w:val="381"/>
          <w:jc w:val="center"/>
        </w:trPr>
        <w:tc>
          <w:tcPr>
            <w:tcW w:w="566"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84A91" w:rsidRPr="00A8454F" w:rsidTr="00C00BF6">
        <w:trPr>
          <w:trHeight w:val="401"/>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84A91" w:rsidRPr="00A8454F" w:rsidTr="00C00BF6">
        <w:trPr>
          <w:trHeight w:val="517"/>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84A91" w:rsidRPr="00A8454F" w:rsidTr="00C00BF6">
        <w:trPr>
          <w:trHeight w:val="870"/>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84A91" w:rsidRPr="00A8454F" w:rsidTr="00C00BF6">
        <w:trPr>
          <w:trHeight w:val="205"/>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84A91" w:rsidRPr="00A8454F" w:rsidTr="00C00BF6">
        <w:trPr>
          <w:trHeight w:val="90"/>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84A91" w:rsidRPr="00A8454F" w:rsidTr="00C00BF6">
        <w:trPr>
          <w:trHeight w:val="595"/>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84A91" w:rsidRPr="00A8454F" w:rsidTr="00C00BF6">
        <w:trPr>
          <w:trHeight w:val="90"/>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84A91" w:rsidRPr="00A8454F" w:rsidTr="00C00BF6">
        <w:trPr>
          <w:trHeight w:val="90"/>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84A91" w:rsidRPr="00A8454F" w:rsidTr="00C00BF6">
        <w:trPr>
          <w:trHeight w:val="890"/>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84A91" w:rsidRPr="00A8454F" w:rsidTr="00C00BF6">
        <w:trPr>
          <w:trHeight w:val="90"/>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84A91" w:rsidRPr="00A8454F" w:rsidTr="00C00BF6">
        <w:trPr>
          <w:trHeight w:val="90"/>
          <w:jc w:val="center"/>
        </w:trPr>
        <w:tc>
          <w:tcPr>
            <w:tcW w:w="566"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784A91" w:rsidRPr="00F358D2" w:rsidRDefault="00784A91" w:rsidP="00F358D2">
      <w:pPr>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84A91" w:rsidRPr="00F358D2" w:rsidRDefault="00784A91"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84A91" w:rsidRPr="00F358D2" w:rsidRDefault="00784A91"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84A91" w:rsidRPr="00F358D2" w:rsidRDefault="00784A91" w:rsidP="00F358D2">
      <w:pPr>
        <w:ind w:firstLine="709"/>
        <w:jc w:val="both"/>
        <w:rPr>
          <w:rFonts w:ascii="Times New Roman" w:hAnsi="Times New Roman"/>
          <w:sz w:val="24"/>
          <w:szCs w:val="24"/>
        </w:rPr>
      </w:pPr>
    </w:p>
    <w:p w:rsidR="00784A91" w:rsidRPr="00F358D2" w:rsidRDefault="00784A91" w:rsidP="00F358D2">
      <w:pPr>
        <w:ind w:firstLine="709"/>
        <w:jc w:val="both"/>
        <w:rPr>
          <w:rFonts w:ascii="Times New Roman" w:hAnsi="Times New Roman"/>
          <w:sz w:val="24"/>
          <w:szCs w:val="24"/>
        </w:rPr>
      </w:pPr>
    </w:p>
    <w:p w:rsidR="00784A91" w:rsidRPr="00F358D2" w:rsidRDefault="00784A91" w:rsidP="00F358D2">
      <w:pPr>
        <w:ind w:firstLine="709"/>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 участие в конкурсе на выполнение работ по капитальному ремонту</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_________ МКД №_____ по ул. ____________________, г.Калининград</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84A91" w:rsidRPr="00A8454F" w:rsidTr="00C00BF6">
        <w:trPr>
          <w:trHeight w:val="109"/>
          <w:jc w:val="center"/>
        </w:trPr>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r w:rsidR="00784A91" w:rsidRPr="00A8454F" w:rsidTr="00C00BF6">
        <w:trPr>
          <w:trHeight w:val="109"/>
          <w:jc w:val="center"/>
        </w:trPr>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r w:rsidR="00784A91" w:rsidRPr="00A8454F" w:rsidTr="00C00BF6">
        <w:trPr>
          <w:trHeight w:val="109"/>
          <w:jc w:val="center"/>
        </w:trPr>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r w:rsidR="00784A91" w:rsidRPr="00A8454F" w:rsidTr="00C00BF6">
        <w:trPr>
          <w:trHeight w:val="109"/>
          <w:jc w:val="center"/>
        </w:trPr>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r w:rsidR="00784A91" w:rsidRPr="00A8454F" w:rsidTr="00C00BF6">
        <w:trPr>
          <w:trHeight w:val="109"/>
          <w:jc w:val="center"/>
        </w:trPr>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r w:rsidR="00784A91" w:rsidRPr="00A8454F" w:rsidTr="00C00BF6">
        <w:trPr>
          <w:trHeight w:val="109"/>
          <w:jc w:val="center"/>
        </w:trPr>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bl>
    <w:p w:rsidR="00784A91" w:rsidRPr="00F358D2" w:rsidRDefault="00784A91" w:rsidP="00F358D2">
      <w:pPr>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784A91" w:rsidRPr="00F358D2" w:rsidRDefault="00784A91"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784A91" w:rsidRPr="00F358D2" w:rsidRDefault="00784A91"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84A91" w:rsidRPr="00F358D2" w:rsidRDefault="00784A91"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784A91" w:rsidRPr="00F358D2" w:rsidRDefault="00784A91"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784A91" w:rsidRPr="00F358D2" w:rsidRDefault="00784A91"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84A91" w:rsidRPr="00A8454F" w:rsidTr="00C00BF6">
        <w:trPr>
          <w:trHeight w:val="109"/>
          <w:jc w:val="center"/>
        </w:trPr>
        <w:tc>
          <w:tcPr>
            <w:tcW w:w="3613"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784A91" w:rsidRPr="00A8454F" w:rsidTr="00C00BF6">
        <w:trPr>
          <w:trHeight w:val="523"/>
          <w:jc w:val="center"/>
        </w:trPr>
        <w:tc>
          <w:tcPr>
            <w:tcW w:w="3613"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r w:rsidR="00784A91" w:rsidRPr="00A8454F" w:rsidTr="00C00BF6">
        <w:trPr>
          <w:trHeight w:val="385"/>
          <w:jc w:val="center"/>
        </w:trPr>
        <w:tc>
          <w:tcPr>
            <w:tcW w:w="3613"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r w:rsidR="00784A91" w:rsidRPr="00A8454F" w:rsidTr="00C00BF6">
        <w:trPr>
          <w:trHeight w:val="385"/>
          <w:jc w:val="center"/>
        </w:trPr>
        <w:tc>
          <w:tcPr>
            <w:tcW w:w="3613"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tc>
      </w:tr>
    </w:tbl>
    <w:p w:rsidR="00784A91" w:rsidRPr="00F358D2" w:rsidRDefault="00784A91" w:rsidP="00F358D2">
      <w:pPr>
        <w:ind w:firstLine="708"/>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84A91" w:rsidRPr="00F358D2" w:rsidRDefault="00784A91"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8. Предлагаем следующие условия выполнения договора подряда:</w:t>
      </w:r>
    </w:p>
    <w:p w:rsidR="00784A91" w:rsidRPr="00F358D2" w:rsidRDefault="00784A91"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84A91" w:rsidRPr="00A8454F" w:rsidTr="00C00BF6">
        <w:trPr>
          <w:trHeight w:val="523"/>
          <w:jc w:val="center"/>
        </w:trPr>
        <w:tc>
          <w:tcPr>
            <w:tcW w:w="817"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784A91" w:rsidRPr="00A8454F" w:rsidTr="00C00BF6">
        <w:trPr>
          <w:trHeight w:val="109"/>
          <w:jc w:val="center"/>
        </w:trPr>
        <w:tc>
          <w:tcPr>
            <w:tcW w:w="817"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84A91" w:rsidRPr="00A8454F" w:rsidTr="00C00BF6">
        <w:trPr>
          <w:trHeight w:val="277"/>
          <w:jc w:val="center"/>
        </w:trPr>
        <w:tc>
          <w:tcPr>
            <w:tcW w:w="817"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r>
      <w:tr w:rsidR="00784A91" w:rsidRPr="00A8454F" w:rsidTr="00C00BF6">
        <w:trPr>
          <w:trHeight w:val="276"/>
          <w:jc w:val="center"/>
        </w:trPr>
        <w:tc>
          <w:tcPr>
            <w:tcW w:w="817"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r>
      <w:tr w:rsidR="00784A91" w:rsidRPr="00A8454F" w:rsidTr="00C00BF6">
        <w:trPr>
          <w:trHeight w:val="276"/>
          <w:jc w:val="center"/>
        </w:trPr>
        <w:tc>
          <w:tcPr>
            <w:tcW w:w="817"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r>
      <w:tr w:rsidR="00784A91" w:rsidRPr="00A8454F" w:rsidTr="00C00BF6">
        <w:trPr>
          <w:trHeight w:val="615"/>
          <w:jc w:val="center"/>
        </w:trPr>
        <w:tc>
          <w:tcPr>
            <w:tcW w:w="817"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tc>
      </w:tr>
    </w:tbl>
    <w:p w:rsidR="00784A91" w:rsidRPr="00F358D2" w:rsidRDefault="00784A91"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784A91" w:rsidRPr="00F358D2" w:rsidRDefault="00784A91"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784A91" w:rsidRPr="00A8454F"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784A91" w:rsidRPr="00A8454F"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bl>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84A91" w:rsidRPr="00F358D2" w:rsidRDefault="00784A91"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84A91" w:rsidRPr="00F358D2" w:rsidRDefault="00784A91"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84A91" w:rsidRPr="00F358D2" w:rsidRDefault="00784A91" w:rsidP="00F358D2">
      <w:pPr>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84A91" w:rsidRPr="00F358D2" w:rsidRDefault="00784A91"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r w:rsidR="00784A91"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tc>
      </w:tr>
    </w:tbl>
    <w:p w:rsidR="00784A91" w:rsidRPr="00F358D2" w:rsidRDefault="00784A91" w:rsidP="00F358D2">
      <w:pPr>
        <w:ind w:firstLine="540"/>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84A91" w:rsidRPr="00F358D2" w:rsidRDefault="00784A91" w:rsidP="00F358D2">
      <w:pPr>
        <w:autoSpaceDE w:val="0"/>
        <w:autoSpaceDN w:val="0"/>
        <w:adjustRightInd w:val="0"/>
        <w:spacing w:after="0" w:line="240" w:lineRule="auto"/>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784A91" w:rsidRPr="00F358D2" w:rsidRDefault="00784A91"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784A91" w:rsidRPr="00F358D2" w:rsidRDefault="00784A91"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784A91" w:rsidRPr="00F358D2" w:rsidRDefault="00784A91" w:rsidP="00F358D2">
      <w:pPr>
        <w:jc w:val="center"/>
        <w:rPr>
          <w:rFonts w:ascii="Times New Roman" w:hAnsi="Times New Roman"/>
          <w:sz w:val="24"/>
          <w:szCs w:val="24"/>
        </w:rPr>
      </w:pPr>
      <w:r w:rsidRPr="00F358D2">
        <w:rPr>
          <w:rFonts w:ascii="Times New Roman" w:hAnsi="Times New Roman"/>
          <w:sz w:val="24"/>
          <w:szCs w:val="24"/>
        </w:rPr>
        <w:t>не менее 5 лет</w:t>
      </w:r>
    </w:p>
    <w:p w:rsidR="00784A91" w:rsidRPr="00F358D2" w:rsidRDefault="00784A91"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84A91" w:rsidRPr="00A8454F"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784A91"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bl>
    <w:p w:rsidR="00784A91" w:rsidRPr="00F358D2" w:rsidRDefault="00784A91" w:rsidP="00F358D2">
      <w:pPr>
        <w:ind w:firstLine="540"/>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84A91" w:rsidRPr="00F358D2" w:rsidRDefault="00784A91"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784A91" w:rsidRPr="00F358D2" w:rsidRDefault="00784A91"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784A91" w:rsidRPr="00A8454F" w:rsidTr="00C00BF6">
        <w:tc>
          <w:tcPr>
            <w:tcW w:w="959"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784A91" w:rsidRPr="00A8454F" w:rsidTr="00C00BF6">
        <w:tc>
          <w:tcPr>
            <w:tcW w:w="959"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c>
          <w:tcPr>
            <w:tcW w:w="959"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c>
          <w:tcPr>
            <w:tcW w:w="959"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r w:rsidR="00784A91" w:rsidRPr="00A8454F" w:rsidTr="00C00BF6">
        <w:tc>
          <w:tcPr>
            <w:tcW w:w="959"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tc>
      </w:tr>
    </w:tbl>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F661B">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784A91" w:rsidRPr="00F358D2" w:rsidRDefault="00784A91"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84A91" w:rsidRPr="00F358D2" w:rsidRDefault="00784A91"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84A91" w:rsidRPr="00F358D2" w:rsidRDefault="00784A91"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84A91" w:rsidRPr="00F358D2" w:rsidRDefault="00784A91"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right"/>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84A91" w:rsidRPr="00F358D2" w:rsidRDefault="00784A91"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784A91" w:rsidRPr="00F358D2" w:rsidRDefault="00784A91"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784A91" w:rsidRPr="00F358D2" w:rsidRDefault="00784A91" w:rsidP="00F358D2">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784A91" w:rsidRPr="00F358D2" w:rsidRDefault="00784A91"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84A91" w:rsidRPr="00F358D2" w:rsidRDefault="00784A91"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84A91" w:rsidRDefault="00784A91" w:rsidP="00F358D2">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84A91" w:rsidRPr="00F358D2" w:rsidRDefault="00784A91" w:rsidP="00F358D2">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784A91" w:rsidRPr="00F358D2" w:rsidRDefault="00784A91" w:rsidP="00F358D2">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784A91" w:rsidRPr="00F358D2" w:rsidRDefault="00784A91" w:rsidP="00F358D2">
      <w:pPr>
        <w:autoSpaceDE w:val="0"/>
        <w:autoSpaceDN w:val="0"/>
        <w:adjustRightInd w:val="0"/>
        <w:spacing w:after="0" w:line="240" w:lineRule="auto"/>
        <w:jc w:val="both"/>
        <w:rPr>
          <w:rFonts w:ascii="Times New Roman" w:hAnsi="Times New Roman"/>
          <w:sz w:val="24"/>
          <w:szCs w:val="24"/>
        </w:rPr>
      </w:pPr>
    </w:p>
    <w:p w:rsidR="00784A91" w:rsidRDefault="00784A91" w:rsidP="00C00BF6">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784A91" w:rsidRPr="007C543C" w:rsidRDefault="00784A91" w:rsidP="00C00BF6">
      <w:pPr>
        <w:autoSpaceDE w:val="0"/>
        <w:autoSpaceDN w:val="0"/>
        <w:adjustRightInd w:val="0"/>
        <w:spacing w:after="0" w:line="240" w:lineRule="auto"/>
        <w:jc w:val="center"/>
        <w:rPr>
          <w:rFonts w:ascii="Times New Roman" w:hAnsi="Times New Roman"/>
          <w:sz w:val="24"/>
          <w:szCs w:val="24"/>
        </w:rPr>
      </w:pPr>
    </w:p>
    <w:p w:rsidR="00784A91" w:rsidRDefault="00784A91" w:rsidP="00F63226">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784A91" w:rsidRPr="007C543C" w:rsidRDefault="00784A91" w:rsidP="00F63226">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784A91" w:rsidRDefault="00784A91" w:rsidP="00283F9F">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784A91" w:rsidRPr="00283F9F" w:rsidRDefault="00784A91" w:rsidP="00C65E7E">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84A91" w:rsidRPr="007C543C" w:rsidRDefault="00784A91" w:rsidP="00C00BF6">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84A91" w:rsidRPr="00283F9F" w:rsidRDefault="00784A91" w:rsidP="00F63226">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784A91" w:rsidRPr="00283F9F" w:rsidRDefault="00784A91" w:rsidP="00F63226">
      <w:pPr>
        <w:autoSpaceDE w:val="0"/>
        <w:autoSpaceDN w:val="0"/>
        <w:adjustRightInd w:val="0"/>
        <w:spacing w:after="0" w:line="240" w:lineRule="auto"/>
        <w:jc w:val="both"/>
        <w:rPr>
          <w:rFonts w:ascii="Times New Roman" w:hAnsi="Times New Roman"/>
          <w:sz w:val="24"/>
          <w:szCs w:val="24"/>
        </w:rPr>
      </w:pPr>
    </w:p>
    <w:p w:rsidR="00784A91" w:rsidRPr="00283F9F" w:rsidRDefault="00784A91"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784A91" w:rsidRPr="00283F9F" w:rsidRDefault="00784A91" w:rsidP="00F63226">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784A91" w:rsidRPr="00283F9F" w:rsidRDefault="00784A91"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84A91" w:rsidRPr="00283F9F" w:rsidRDefault="00784A91"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84A91" w:rsidRPr="00283F9F" w:rsidRDefault="00784A91"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84A91" w:rsidRPr="00283F9F" w:rsidRDefault="00784A91"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84A91" w:rsidRPr="00283F9F" w:rsidRDefault="00784A91"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84A91" w:rsidRPr="00283F9F" w:rsidRDefault="00784A91" w:rsidP="00F63226">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784A91" w:rsidRPr="00283F9F" w:rsidRDefault="00784A91"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84A91" w:rsidRPr="00283F9F" w:rsidRDefault="00784A91"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784A91" w:rsidRPr="00283F9F" w:rsidRDefault="00784A91"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784A91" w:rsidRPr="00283F9F" w:rsidRDefault="00784A91"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 КС-3.</w:t>
      </w:r>
      <w:r w:rsidRPr="00283F9F">
        <w:rPr>
          <w:rFonts w:ascii="Times New Roman" w:hAnsi="Times New Roman"/>
          <w:sz w:val="24"/>
          <w:szCs w:val="24"/>
        </w:rPr>
        <w:t xml:space="preserve"> </w:t>
      </w:r>
    </w:p>
    <w:p w:rsidR="00784A91" w:rsidRPr="00283F9F" w:rsidRDefault="00784A91" w:rsidP="00F63226">
      <w:pPr>
        <w:autoSpaceDE w:val="0"/>
        <w:autoSpaceDN w:val="0"/>
        <w:adjustRightInd w:val="0"/>
        <w:spacing w:after="0" w:line="240" w:lineRule="auto"/>
        <w:jc w:val="both"/>
        <w:rPr>
          <w:rFonts w:ascii="Times New Roman" w:hAnsi="Times New Roman"/>
          <w:sz w:val="24"/>
          <w:szCs w:val="24"/>
        </w:rPr>
      </w:pPr>
    </w:p>
    <w:p w:rsidR="00784A91" w:rsidRPr="00F358D2" w:rsidRDefault="00784A91" w:rsidP="00F358D2">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84A91" w:rsidRPr="00A06927" w:rsidRDefault="00784A91" w:rsidP="00A06927">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84A91" w:rsidRPr="00A06927" w:rsidRDefault="00784A91" w:rsidP="00A06927">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w:t>
      </w:r>
      <w:bookmarkStart w:id="1" w:name="_GoBack"/>
      <w:bookmarkEnd w:id="1"/>
      <w:r>
        <w:rPr>
          <w:rFonts w:ascii="Times New Roman" w:hAnsi="Times New Roman"/>
          <w:sz w:val="24"/>
          <w:szCs w:val="24"/>
        </w:rPr>
        <w:t xml:space="preserve">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84A91" w:rsidRPr="00A06927" w:rsidRDefault="00784A91" w:rsidP="00A06927">
      <w:pPr>
        <w:autoSpaceDE w:val="0"/>
        <w:autoSpaceDN w:val="0"/>
        <w:adjustRightInd w:val="0"/>
        <w:spacing w:after="0" w:line="240" w:lineRule="auto"/>
        <w:ind w:firstLine="708"/>
        <w:jc w:val="both"/>
        <w:rPr>
          <w:rFonts w:ascii="Times New Roman" w:hAnsi="Times New Roman"/>
          <w:b/>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784A91" w:rsidRPr="00A06927" w:rsidRDefault="00784A91" w:rsidP="00A06927">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84A91" w:rsidRPr="00A06927" w:rsidRDefault="00784A91" w:rsidP="00A06927">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784A91" w:rsidRPr="00A06927" w:rsidRDefault="00784A91" w:rsidP="00A06927">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784A91" w:rsidRPr="00A06927" w:rsidRDefault="00784A91" w:rsidP="00A06927">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84A91" w:rsidRPr="00A06927" w:rsidRDefault="00784A91"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84A91" w:rsidRPr="00A06927" w:rsidRDefault="00784A91" w:rsidP="00A06927">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84A91" w:rsidRPr="00A06927" w:rsidRDefault="00784A91"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784A91" w:rsidRPr="00A06927" w:rsidRDefault="00784A91"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84A91" w:rsidRPr="00A06927" w:rsidRDefault="00784A91"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2. Локальный сметный расчет</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784A91" w:rsidRPr="00A06927" w:rsidRDefault="00784A91"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784A91" w:rsidRPr="00A06927" w:rsidRDefault="00784A91" w:rsidP="00A06927">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784A91" w:rsidRPr="00A06927" w:rsidRDefault="00784A91" w:rsidP="00A06927">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p w:rsidR="00784A91" w:rsidRPr="00A06927" w:rsidRDefault="00784A91" w:rsidP="00A06927">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784A91" w:rsidRPr="00A06927" w:rsidRDefault="00784A91" w:rsidP="00A06927">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784A91" w:rsidRPr="00A06927" w:rsidRDefault="00784A91" w:rsidP="00A06927">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sectPr w:rsidR="00784A91" w:rsidRPr="00A06927" w:rsidSect="00C0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442E4"/>
    <w:rsid w:val="00082645"/>
    <w:rsid w:val="00121384"/>
    <w:rsid w:val="00270076"/>
    <w:rsid w:val="00283F9F"/>
    <w:rsid w:val="002A76C6"/>
    <w:rsid w:val="00327658"/>
    <w:rsid w:val="004317CB"/>
    <w:rsid w:val="004E44F3"/>
    <w:rsid w:val="004F7DE8"/>
    <w:rsid w:val="006006BA"/>
    <w:rsid w:val="006716D7"/>
    <w:rsid w:val="006C6D48"/>
    <w:rsid w:val="00727D32"/>
    <w:rsid w:val="00784A91"/>
    <w:rsid w:val="007C543C"/>
    <w:rsid w:val="008514CA"/>
    <w:rsid w:val="00977C8C"/>
    <w:rsid w:val="00A06927"/>
    <w:rsid w:val="00A70B1D"/>
    <w:rsid w:val="00A8454F"/>
    <w:rsid w:val="00AA31CE"/>
    <w:rsid w:val="00B31067"/>
    <w:rsid w:val="00BC4537"/>
    <w:rsid w:val="00BD6EE0"/>
    <w:rsid w:val="00C00BF6"/>
    <w:rsid w:val="00C04C8B"/>
    <w:rsid w:val="00C24361"/>
    <w:rsid w:val="00C32627"/>
    <w:rsid w:val="00C65E7E"/>
    <w:rsid w:val="00C8148A"/>
    <w:rsid w:val="00CB1952"/>
    <w:rsid w:val="00CD2D98"/>
    <w:rsid w:val="00CF2715"/>
    <w:rsid w:val="00D05E4E"/>
    <w:rsid w:val="00D42A0E"/>
    <w:rsid w:val="00DE2585"/>
    <w:rsid w:val="00F358D2"/>
    <w:rsid w:val="00F63226"/>
    <w:rsid w:val="00F915F5"/>
    <w:rsid w:val="00FC2283"/>
    <w:rsid w:val="00FD4F7D"/>
    <w:rsid w:val="00FD7F53"/>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sz w:val="16"/>
      <w:lang w:eastAsia="ru-RU"/>
    </w:rPr>
  </w:style>
  <w:style w:type="paragraph" w:styleId="BalloonText">
    <w:name w:val="Balloon Text"/>
    <w:basedOn w:val="Normal"/>
    <w:link w:val="BalloonTextChar1"/>
    <w:uiPriority w:val="99"/>
    <w:semiHidden/>
    <w:rsid w:val="00F358D2"/>
    <w:pPr>
      <w:overflowPunct w:val="0"/>
      <w:autoSpaceDE w:val="0"/>
      <w:autoSpaceDN w:val="0"/>
      <w:adjustRightInd w:val="0"/>
      <w:spacing w:after="0" w:line="240" w:lineRule="auto"/>
      <w:textAlignment w:val="baseline"/>
    </w:pPr>
    <w:rPr>
      <w:rFonts w:ascii="Tahoma" w:hAnsi="Tahoma"/>
      <w:sz w:val="16"/>
      <w:szCs w:val="16"/>
      <w:lang w:eastAsia="ru-RU"/>
    </w:rPr>
  </w:style>
  <w:style w:type="character" w:customStyle="1" w:styleId="BalloonTextChar1">
    <w:name w:val="Balloon Text Char1"/>
    <w:basedOn w:val="DefaultParagraphFont"/>
    <w:link w:val="BalloonText"/>
    <w:uiPriority w:val="99"/>
    <w:semiHidden/>
    <w:locked/>
    <w:rsid w:val="00727D32"/>
    <w:rPr>
      <w:rFonts w:ascii="Times New Roman" w:hAnsi="Times New Roman" w:cs="Times New Roman"/>
      <w:sz w:val="2"/>
      <w:lang w:eastAsia="en-US"/>
    </w:rPr>
  </w:style>
  <w:style w:type="character" w:customStyle="1" w:styleId="1">
    <w:name w:val="Текст выноски Знак1"/>
    <w:basedOn w:val="DefaultParagraphFont"/>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rFonts w:cs="Times New Roman"/>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F358D2"/>
    <w:rPr>
      <w:rFonts w:ascii="Calibri" w:hAnsi="Calibri" w:cs="Times New Roman"/>
    </w:rPr>
  </w:style>
  <w:style w:type="character" w:customStyle="1" w:styleId="FooterChar">
    <w:name w:val="Footer Char"/>
    <w:uiPriority w:val="99"/>
    <w:semiHidden/>
    <w:locked/>
    <w:rsid w:val="00F358D2"/>
    <w:rPr>
      <w:rFonts w:ascii="Calibri" w:hAnsi="Calibri"/>
    </w:rPr>
  </w:style>
  <w:style w:type="paragraph" w:styleId="Footer">
    <w:name w:val="footer"/>
    <w:basedOn w:val="Normal"/>
    <w:link w:val="FooterChar1"/>
    <w:uiPriority w:val="99"/>
    <w:semiHidden/>
    <w:rsid w:val="00F358D2"/>
    <w:pPr>
      <w:tabs>
        <w:tab w:val="center" w:pos="4677"/>
        <w:tab w:val="right" w:pos="9355"/>
      </w:tabs>
      <w:spacing w:after="200" w:line="276" w:lineRule="auto"/>
    </w:pPr>
    <w:rPr>
      <w:sz w:val="20"/>
      <w:szCs w:val="20"/>
      <w:lang w:eastAsia="ru-RU"/>
    </w:rPr>
  </w:style>
  <w:style w:type="character" w:customStyle="1" w:styleId="FooterChar1">
    <w:name w:val="Footer Char1"/>
    <w:basedOn w:val="DefaultParagraphFont"/>
    <w:link w:val="Footer"/>
    <w:uiPriority w:val="99"/>
    <w:semiHidden/>
    <w:locked/>
    <w:rsid w:val="00727D32"/>
    <w:rPr>
      <w:rFonts w:cs="Times New Roman"/>
      <w:lang w:eastAsia="en-US"/>
    </w:rPr>
  </w:style>
  <w:style w:type="character" w:customStyle="1" w:styleId="10">
    <w:name w:val="Нижний колонтитул Знак1"/>
    <w:basedOn w:val="DefaultParagraphFont"/>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TotalTime>
  <Pages>29</Pages>
  <Words>10238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13</cp:revision>
  <cp:lastPrinted>2016-02-15T08:44:00Z</cp:lastPrinted>
  <dcterms:created xsi:type="dcterms:W3CDTF">2016-02-15T10:24:00Z</dcterms:created>
  <dcterms:modified xsi:type="dcterms:W3CDTF">2016-02-19T08:21:00Z</dcterms:modified>
</cp:coreProperties>
</file>