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906C13" w:rsidTr="00F36AF6">
        <w:tc>
          <w:tcPr>
            <w:tcW w:w="10206" w:type="dxa"/>
            <w:gridSpan w:val="2"/>
          </w:tcPr>
          <w:p w:rsidR="00512CFA" w:rsidRPr="00906C13" w:rsidRDefault="00512CFA" w:rsidP="006204A5">
            <w:pPr>
              <w:spacing w:after="0"/>
              <w:jc w:val="right"/>
              <w:rPr>
                <w:color w:val="FFFFFF"/>
              </w:rPr>
            </w:pPr>
            <w:r w:rsidRPr="00906C13">
              <w:rPr>
                <w:color w:val="FFFFFF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906C13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906C1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906C13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906C13">
            <w:pPr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906C13">
              <w:rPr>
                <w:rFonts w:ascii="Times New Roman" w:hAnsi="Times New Roman"/>
                <w:sz w:val="28"/>
                <w:szCs w:val="26"/>
              </w:rPr>
              <w:t>Директор</w:t>
            </w:r>
            <w:r w:rsidR="00906C13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906C13">
              <w:rPr>
                <w:rFonts w:ascii="Times New Roman" w:hAnsi="Times New Roman"/>
                <w:sz w:val="28"/>
                <w:szCs w:val="26"/>
              </w:rPr>
              <w:t>МКУ «</w:t>
            </w:r>
            <w:proofErr w:type="gramStart"/>
            <w:r w:rsidRPr="00906C13">
              <w:rPr>
                <w:rFonts w:ascii="Times New Roman" w:hAnsi="Times New Roman"/>
                <w:sz w:val="28"/>
                <w:szCs w:val="26"/>
              </w:rPr>
              <w:t>КР</w:t>
            </w:r>
            <w:proofErr w:type="gramEnd"/>
            <w:r w:rsidRPr="00906C13">
              <w:rPr>
                <w:rFonts w:ascii="Times New Roman" w:hAnsi="Times New Roman"/>
                <w:sz w:val="28"/>
                <w:szCs w:val="26"/>
              </w:rPr>
              <w:t xml:space="preserve"> МКД»</w:t>
            </w:r>
            <w:r w:rsidRPr="00906C13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2CFA" w:rsidRPr="00906C13" w:rsidRDefault="00442424" w:rsidP="00906C13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Директор </w:t>
            </w:r>
            <w:r w:rsidR="00906C13">
              <w:rPr>
                <w:rFonts w:ascii="Times New Roman" w:hAnsi="Times New Roman"/>
                <w:sz w:val="28"/>
                <w:szCs w:val="26"/>
              </w:rPr>
              <w:t>ООО «ЖЭУ № 7»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906C1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906C13" w:rsidP="007D0A7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 /</w:t>
            </w:r>
            <w:r w:rsidR="00512CFA" w:rsidRPr="00906C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906C13">
              <w:rPr>
                <w:rFonts w:ascii="Times New Roman" w:hAnsi="Times New Roman"/>
                <w:sz w:val="26"/>
                <w:szCs w:val="26"/>
              </w:rPr>
              <w:t xml:space="preserve">С.Б. </w:t>
            </w:r>
            <w:proofErr w:type="spellStart"/>
            <w:r w:rsidR="00512CFA" w:rsidRPr="00906C13">
              <w:rPr>
                <w:rFonts w:ascii="Times New Roman" w:hAnsi="Times New Roman"/>
                <w:sz w:val="26"/>
                <w:szCs w:val="26"/>
              </w:rPr>
              <w:t>Русович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</w:t>
            </w:r>
          </w:p>
          <w:p w:rsidR="00512CFA" w:rsidRPr="00906C13" w:rsidRDefault="00F425AB" w:rsidP="007D0A7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«___»__________</w:t>
            </w:r>
            <w:r w:rsidR="00512CFA" w:rsidRPr="00906C13">
              <w:rPr>
                <w:rFonts w:ascii="Times New Roman" w:hAnsi="Times New Roman"/>
                <w:sz w:val="26"/>
                <w:szCs w:val="26"/>
              </w:rPr>
              <w:t xml:space="preserve"> 2016 г</w:t>
            </w:r>
            <w:r>
              <w:rPr>
                <w:rFonts w:ascii="Times New Roman" w:hAnsi="Times New Roman"/>
                <w:sz w:val="26"/>
                <w:szCs w:val="26"/>
              </w:rPr>
              <w:t>ода</w:t>
            </w:r>
          </w:p>
        </w:tc>
        <w:tc>
          <w:tcPr>
            <w:tcW w:w="5103" w:type="dxa"/>
          </w:tcPr>
          <w:p w:rsidR="00512CFA" w:rsidRPr="00906C13" w:rsidRDefault="000464D5" w:rsidP="000464D5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_______________</w:t>
            </w:r>
            <w:bookmarkStart w:id="0" w:name="_GoBack"/>
            <w:bookmarkEnd w:id="0"/>
            <w:r w:rsidR="00906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2CFA" w:rsidRPr="00906C13">
              <w:rPr>
                <w:rFonts w:ascii="Times New Roman" w:hAnsi="Times New Roman"/>
                <w:sz w:val="26"/>
                <w:szCs w:val="26"/>
              </w:rPr>
              <w:t>/</w:t>
            </w:r>
            <w:r w:rsidR="00512CFA" w:rsidRPr="00906C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24">
              <w:rPr>
                <w:rFonts w:ascii="Times New Roman" w:hAnsi="Times New Roman"/>
                <w:sz w:val="26"/>
                <w:szCs w:val="26"/>
              </w:rPr>
              <w:t>Т.В. Просвирина</w:t>
            </w:r>
            <w:r w:rsidR="00906C13">
              <w:rPr>
                <w:rFonts w:ascii="Times New Roman" w:hAnsi="Times New Roman"/>
                <w:sz w:val="26"/>
                <w:szCs w:val="26"/>
              </w:rPr>
              <w:t xml:space="preserve"> /</w:t>
            </w:r>
          </w:p>
          <w:p w:rsidR="00512CFA" w:rsidRPr="00906C13" w:rsidRDefault="00F425AB" w:rsidP="00C1302B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«___»_________</w:t>
            </w:r>
            <w:r w:rsidR="00512CFA" w:rsidRPr="00906C13">
              <w:rPr>
                <w:rFonts w:ascii="Times New Roman" w:hAnsi="Times New Roman"/>
                <w:sz w:val="26"/>
                <w:szCs w:val="26"/>
              </w:rPr>
              <w:t xml:space="preserve"> 2016 г</w:t>
            </w:r>
            <w:r>
              <w:rPr>
                <w:rFonts w:ascii="Times New Roman" w:hAnsi="Times New Roman"/>
                <w:sz w:val="26"/>
                <w:szCs w:val="26"/>
              </w:rPr>
              <w:t>ода</w:t>
            </w:r>
          </w:p>
        </w:tc>
      </w:tr>
    </w:tbl>
    <w:p w:rsidR="00512CFA" w:rsidRPr="00A05F78" w:rsidRDefault="00512CFA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512CFA" w:rsidRPr="00A05F78" w:rsidRDefault="00512CFA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512CFA" w:rsidRPr="00A05F78" w:rsidRDefault="00512CFA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512CFA" w:rsidRPr="00A05F78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>на капитальный ремонт дворовой территории</w:t>
      </w:r>
      <w:r w:rsidR="00906C13" w:rsidRPr="00E32BC3">
        <w:rPr>
          <w:rFonts w:ascii="Verdana" w:hAnsi="Verdana" w:cs="Verdana"/>
          <w:sz w:val="16"/>
          <w:szCs w:val="16"/>
          <w:lang w:eastAsia="ru-RU"/>
        </w:rPr>
        <w:t xml:space="preserve"> </w:t>
      </w:r>
      <w:r w:rsidR="00906C13" w:rsidRPr="00906C13">
        <w:rPr>
          <w:rFonts w:ascii="Times New Roman" w:hAnsi="Times New Roman"/>
          <w:sz w:val="28"/>
          <w:szCs w:val="28"/>
        </w:rPr>
        <w:t>МКД по адресу:</w:t>
      </w:r>
      <w:r w:rsidR="00906C1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06C13" w:rsidRPr="00906C13">
        <w:rPr>
          <w:rFonts w:ascii="Times New Roman" w:hAnsi="Times New Roman"/>
          <w:sz w:val="28"/>
          <w:szCs w:val="28"/>
        </w:rPr>
        <w:t xml:space="preserve"> г. Калининград, ул. Сергеева 43-49</w:t>
      </w:r>
    </w:p>
    <w:p w:rsidR="00512CFA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B657DA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 xml:space="preserve">Дворовая территория </w:t>
            </w:r>
            <w:r w:rsidR="00F92D92" w:rsidRPr="00B657DA">
              <w:rPr>
                <w:rFonts w:ascii="Times New Roman" w:hAnsi="Times New Roman"/>
                <w:sz w:val="28"/>
                <w:szCs w:val="28"/>
              </w:rPr>
              <w:t xml:space="preserve">МКД 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по адресу:                 г. Калининград, </w:t>
            </w:r>
            <w:r w:rsidR="00F92D92" w:rsidRPr="00B657DA">
              <w:rPr>
                <w:rFonts w:ascii="Times New Roman" w:hAnsi="Times New Roman"/>
                <w:sz w:val="28"/>
                <w:szCs w:val="28"/>
              </w:rPr>
              <w:t>ул. Сергеева 43-49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57DA" w:rsidRDefault="00F92D92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Россия, г.</w:t>
            </w:r>
            <w:r w:rsidR="00512CFA" w:rsidRPr="00B657DA">
              <w:rPr>
                <w:rFonts w:ascii="Times New Roman" w:hAnsi="Times New Roman"/>
                <w:sz w:val="28"/>
                <w:szCs w:val="28"/>
              </w:rPr>
              <w:t xml:space="preserve"> Калининград, 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                            ул. Сергеева, д. 43-49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57DA" w:rsidRDefault="00F92D92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B657DA">
              <w:rPr>
                <w:rFonts w:ascii="Times New Roman" w:hAnsi="Times New Roman"/>
                <w:sz w:val="28"/>
                <w:szCs w:val="26"/>
              </w:rPr>
              <w:t>ООО «ЖЭУ № 7»</w:t>
            </w:r>
          </w:p>
        </w:tc>
      </w:tr>
      <w:tr w:rsidR="00512CFA" w:rsidRPr="00B657DA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57DA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57DA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57DA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57DA" w:rsidRDefault="00512CFA" w:rsidP="00F92D92">
            <w:pPr>
              <w:widowControl w:val="0"/>
              <w:autoSpaceDE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57DA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57DA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442424" w:rsidRDefault="00442424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Pr="00EB1839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lastRenderedPageBreak/>
        <w:t>2.</w:t>
      </w:r>
      <w:r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дворовой территории  многоквартирного дома по адресу: г. Калининград, </w:t>
            </w:r>
            <w:r w:rsidR="00F92D92" w:rsidRPr="00B657DA">
              <w:rPr>
                <w:rFonts w:ascii="Times New Roman" w:hAnsi="Times New Roman"/>
                <w:sz w:val="24"/>
                <w:szCs w:val="24"/>
              </w:rPr>
              <w:t>ул. Сергеева 43-49</w:t>
            </w:r>
            <w:r w:rsidRPr="00B657DA">
              <w:rPr>
                <w:rFonts w:ascii="Times New Roman" w:hAnsi="Times New Roman"/>
                <w:sz w:val="24"/>
                <w:szCs w:val="24"/>
              </w:rPr>
              <w:t>.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произвести местное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последующим уплотнением. </w:t>
            </w:r>
          </w:p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 результату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57DA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657DA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возможно, проводить с 8-00 до 19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57DA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  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</w:tcPr>
          <w:p w:rsidR="00512CFA" w:rsidRPr="00B657DA" w:rsidRDefault="00512CFA" w:rsidP="00FD6165">
            <w:pPr>
              <w:pStyle w:val="aa"/>
              <w:widowControl w:val="0"/>
              <w:suppressAutoHyphens w:val="0"/>
              <w:autoSpaceDE w:val="0"/>
              <w:autoSpaceDN w:val="0"/>
              <w:adjustRightInd w:val="0"/>
              <w:spacing w:before="20" w:after="20" w:line="240" w:lineRule="auto"/>
              <w:ind w:left="33" w:right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</w:t>
            </w:r>
            <w:r w:rsidR="00DD6684">
              <w:rPr>
                <w:rFonts w:ascii="Times New Roman" w:hAnsi="Times New Roman"/>
                <w:color w:val="000000"/>
                <w:sz w:val="24"/>
                <w:szCs w:val="24"/>
              </w:rPr>
              <w:t>й с учетом климатологии, их них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: 30</w:t>
            </w:r>
            <w:r w:rsidR="00DD6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производство работ, 15 календарных дней – подготовка исполнительной документации, КС2, КС-3.</w:t>
            </w:r>
          </w:p>
        </w:tc>
      </w:tr>
    </w:tbl>
    <w:p w:rsidR="00512CFA" w:rsidRDefault="00512CFA" w:rsidP="00DB1254">
      <w:pPr>
        <w:pStyle w:val="ad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5226">
        <w:rPr>
          <w:rFonts w:ascii="Times New Roman" w:hAnsi="Times New Roman"/>
          <w:b/>
          <w:color w:val="000000"/>
          <w:sz w:val="28"/>
          <w:szCs w:val="28"/>
        </w:rPr>
        <w:t>Конструкции дорожной одежды</w:t>
      </w:r>
    </w:p>
    <w:p w:rsidR="00512CFA" w:rsidRDefault="000464D5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234pt">
            <v:imagedata r:id="rId6" o:title="Основание под Асфальт"/>
          </v:shape>
        </w:pict>
      </w:r>
    </w:p>
    <w:p w:rsidR="00512CFA" w:rsidRDefault="00512CFA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2CFA" w:rsidRDefault="00512CFA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</w:r>
      <w:r>
        <w:rPr>
          <w:rFonts w:ascii="Times New Roman" w:hAnsi="Times New Roman" w:cs="Times New Roman"/>
          <w:sz w:val="24"/>
          <w:szCs w:val="24"/>
        </w:rPr>
        <w:t xml:space="preserve">ротуаров, соблюдать требования </w:t>
      </w:r>
      <w:r w:rsidRPr="00DB1254">
        <w:rPr>
          <w:rFonts w:ascii="Times New Roman" w:hAnsi="Times New Roman" w:cs="Times New Roman"/>
          <w:sz w:val="24"/>
          <w:szCs w:val="24"/>
        </w:rPr>
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DB1254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DB1254">
        <w:rPr>
          <w:rFonts w:ascii="Times New Roman" w:hAnsi="Times New Roman" w:cs="Times New Roman"/>
          <w:sz w:val="24"/>
          <w:szCs w:val="24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- пункт 2, Приказа Государственного Комитета Российской Федерации по строительству и жилищно-коммунальному комплексу №153 от 15 декабря 1999 г. "Об утверждении правил создания, охраны и содержания зеленых насаждений в городах Российской Федерации".</w:t>
      </w:r>
    </w:p>
    <w:p w:rsidR="00512CFA" w:rsidRPr="00F35226" w:rsidRDefault="00512CFA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* Если в границах производства работ выявлены участки с </w:t>
      </w:r>
      <w:proofErr w:type="spellStart"/>
      <w:r w:rsidRPr="00DB1254">
        <w:rPr>
          <w:rFonts w:ascii="Times New Roman" w:hAnsi="Times New Roman" w:cs="Times New Roman"/>
          <w:sz w:val="24"/>
          <w:szCs w:val="24"/>
        </w:rPr>
        <w:t>просадочными</w:t>
      </w:r>
      <w:proofErr w:type="spellEnd"/>
      <w:r w:rsidRPr="00DB1254">
        <w:rPr>
          <w:rFonts w:ascii="Times New Roman" w:hAnsi="Times New Roman" w:cs="Times New Roman"/>
          <w:sz w:val="24"/>
          <w:szCs w:val="24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DB1254">
        <w:rPr>
          <w:rFonts w:ascii="Times New Roman" w:hAnsi="Times New Roman" w:cs="Times New Roman"/>
          <w:sz w:val="24"/>
          <w:szCs w:val="24"/>
        </w:rPr>
        <w:t>просадочных</w:t>
      </w:r>
      <w:proofErr w:type="spellEnd"/>
      <w:r w:rsidRPr="00DB1254">
        <w:rPr>
          <w:rFonts w:ascii="Times New Roman" w:hAnsi="Times New Roman" w:cs="Times New Roman"/>
          <w:sz w:val="24"/>
          <w:szCs w:val="24"/>
        </w:rPr>
        <w:t xml:space="preserve"> участков.</w:t>
      </w:r>
      <w:r w:rsidRPr="00F352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Default="00512CFA" w:rsidP="00F97F90">
      <w:pPr>
        <w:pStyle w:val="ad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5B4503">
        <w:rPr>
          <w:rFonts w:ascii="Times New Roman" w:hAnsi="Times New Roman"/>
          <w:b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268"/>
        <w:gridCol w:w="5953"/>
        <w:gridCol w:w="1708"/>
      </w:tblGrid>
      <w:tr w:rsidR="00512CFA" w:rsidRPr="00551A6B" w:rsidTr="005456D3">
        <w:trPr>
          <w:trHeight w:val="599"/>
          <w:jc w:val="center"/>
        </w:trPr>
        <w:tc>
          <w:tcPr>
            <w:tcW w:w="576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512CFA" w:rsidRPr="009B17D7" w:rsidTr="005456D3">
        <w:trPr>
          <w:trHeight w:val="682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средний, ГОСТ 8736-93 (модуль крупности 2 – 2.5 мм)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512CFA" w:rsidRPr="009625BF" w:rsidRDefault="00FB5F1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FB5F1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 марка 800, фракция 10-20 мм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F1A" w:rsidRPr="009B17D7" w:rsidTr="005456D3">
        <w:trPr>
          <w:jc w:val="center"/>
        </w:trPr>
        <w:tc>
          <w:tcPr>
            <w:tcW w:w="576" w:type="dxa"/>
            <w:vAlign w:val="center"/>
          </w:tcPr>
          <w:p w:rsidR="00FB5F1A" w:rsidRPr="009625BF" w:rsidRDefault="00FB5F1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FB5F1A" w:rsidRPr="009625BF" w:rsidRDefault="00FB5F1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FB5F1A" w:rsidRPr="009625BF" w:rsidRDefault="00FB5F1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FB5F1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 марка 800, фракция 20-40 мм</w:t>
            </w:r>
          </w:p>
        </w:tc>
        <w:tc>
          <w:tcPr>
            <w:tcW w:w="1708" w:type="dxa"/>
            <w:vAlign w:val="center"/>
          </w:tcPr>
          <w:p w:rsidR="00FB5F1A" w:rsidRPr="009625BF" w:rsidRDefault="00FB5F1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DD6684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2CFA" w:rsidRPr="00962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512CFA" w:rsidRPr="009625BF" w:rsidRDefault="00FB5F1A" w:rsidP="00FB5F1A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Горячая асфальтобетонная смесь пористая мелкозернистая</w:t>
            </w:r>
            <w:r w:rsidRPr="00FB5F1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плотность каменных материалов 2,5-2,9 т/</w:t>
            </w:r>
            <w:r w:rsidR="00C004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м3.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DD6684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CFA" w:rsidRPr="00962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512CFA" w:rsidRPr="009625BF" w:rsidRDefault="00FB5F1A" w:rsidP="00FB5F1A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Горячая асфальтобетонная смесь плотная мелкозернистая</w:t>
            </w:r>
            <w:r w:rsidRPr="00FB5F1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типа АБВ, плотность каменных материалов 2,5-2,9 т/м3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trHeight w:val="492"/>
          <w:jc w:val="center"/>
        </w:trPr>
        <w:tc>
          <w:tcPr>
            <w:tcW w:w="576" w:type="dxa"/>
            <w:vAlign w:val="center"/>
          </w:tcPr>
          <w:p w:rsidR="00512CFA" w:rsidRPr="009625BF" w:rsidRDefault="00DD6684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2CFA" w:rsidRPr="00962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vAlign w:val="center"/>
          </w:tcPr>
          <w:p w:rsidR="00512CFA" w:rsidRPr="009625BF" w:rsidRDefault="00DD6684" w:rsidP="00DD6684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D668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100.20.8 / бетон В22,5 (М300), объем 0,016 м3/ (ГОСТ 6665-91)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trHeight w:val="507"/>
          <w:jc w:val="center"/>
        </w:trPr>
        <w:tc>
          <w:tcPr>
            <w:tcW w:w="576" w:type="dxa"/>
            <w:vAlign w:val="center"/>
          </w:tcPr>
          <w:p w:rsidR="00512CFA" w:rsidRPr="009625BF" w:rsidRDefault="00DD6684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2CFA" w:rsidRPr="00962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2CFA" w:rsidRDefault="00512CFA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lastRenderedPageBreak/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hAnsi="Times New Roman" w:cs="Times New Roman"/>
          <w:sz w:val="24"/>
          <w:szCs w:val="24"/>
        </w:rPr>
        <w:t>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512CFA" w:rsidRPr="00227805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512CFA" w:rsidRPr="00F454B9" w:rsidTr="00331A0C">
        <w:tc>
          <w:tcPr>
            <w:tcW w:w="2268" w:type="dxa"/>
          </w:tcPr>
          <w:p w:rsidR="00512CFA" w:rsidRPr="00F454B9" w:rsidRDefault="00512CFA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42424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7479" w:type="dxa"/>
          </w:tcPr>
          <w:p w:rsidR="00512CFA" w:rsidRPr="002E26FE" w:rsidRDefault="00512CFA" w:rsidP="0022780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657DA" w:rsidRPr="002E26FE" w:rsidRDefault="00442424" w:rsidP="0022780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 ООО «ЖЭУ № 7»                                      С. Черкасов</w:t>
            </w:r>
          </w:p>
        </w:tc>
        <w:tc>
          <w:tcPr>
            <w:tcW w:w="459" w:type="dxa"/>
          </w:tcPr>
          <w:p w:rsidR="00512CFA" w:rsidRPr="00F454B9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512CFA" w:rsidRDefault="00512CFA" w:rsidP="00B657DA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31B"/>
    <w:rsid w:val="00015DA0"/>
    <w:rsid w:val="000202D0"/>
    <w:rsid w:val="00026CBE"/>
    <w:rsid w:val="00031FD0"/>
    <w:rsid w:val="00032C88"/>
    <w:rsid w:val="000369D3"/>
    <w:rsid w:val="000464D5"/>
    <w:rsid w:val="000702E1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9035E"/>
    <w:rsid w:val="001B2F82"/>
    <w:rsid w:val="001D02D6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5F1"/>
    <w:rsid w:val="002B6FF7"/>
    <w:rsid w:val="002C2934"/>
    <w:rsid w:val="002C7766"/>
    <w:rsid w:val="002D0D8E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2424"/>
    <w:rsid w:val="00446C90"/>
    <w:rsid w:val="00452958"/>
    <w:rsid w:val="004644D9"/>
    <w:rsid w:val="004654EC"/>
    <w:rsid w:val="00467187"/>
    <w:rsid w:val="00471E6B"/>
    <w:rsid w:val="0047530F"/>
    <w:rsid w:val="00481B85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3BC6"/>
    <w:rsid w:val="00575077"/>
    <w:rsid w:val="00575B41"/>
    <w:rsid w:val="005853ED"/>
    <w:rsid w:val="00591B4A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0D08"/>
    <w:rsid w:val="00672473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06C13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A05F78"/>
    <w:rsid w:val="00A1331B"/>
    <w:rsid w:val="00A15359"/>
    <w:rsid w:val="00A264E5"/>
    <w:rsid w:val="00A30A79"/>
    <w:rsid w:val="00A337E4"/>
    <w:rsid w:val="00A3623C"/>
    <w:rsid w:val="00A37A31"/>
    <w:rsid w:val="00A4534F"/>
    <w:rsid w:val="00A6727C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657DA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41F"/>
    <w:rsid w:val="00C1302B"/>
    <w:rsid w:val="00C218B5"/>
    <w:rsid w:val="00C4399F"/>
    <w:rsid w:val="00C66A2E"/>
    <w:rsid w:val="00C70AF1"/>
    <w:rsid w:val="00C71386"/>
    <w:rsid w:val="00C71588"/>
    <w:rsid w:val="00C71E0A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6684"/>
    <w:rsid w:val="00DF7C2B"/>
    <w:rsid w:val="00E05524"/>
    <w:rsid w:val="00E1507B"/>
    <w:rsid w:val="00E26D4F"/>
    <w:rsid w:val="00E32BC3"/>
    <w:rsid w:val="00E333C4"/>
    <w:rsid w:val="00E37250"/>
    <w:rsid w:val="00EA1F63"/>
    <w:rsid w:val="00EB1839"/>
    <w:rsid w:val="00EC597D"/>
    <w:rsid w:val="00EE66E5"/>
    <w:rsid w:val="00EF0D5C"/>
    <w:rsid w:val="00EF5709"/>
    <w:rsid w:val="00F01814"/>
    <w:rsid w:val="00F27312"/>
    <w:rsid w:val="00F3129B"/>
    <w:rsid w:val="00F35226"/>
    <w:rsid w:val="00F36AF6"/>
    <w:rsid w:val="00F425AB"/>
    <w:rsid w:val="00F454B9"/>
    <w:rsid w:val="00F550FB"/>
    <w:rsid w:val="00F57C08"/>
    <w:rsid w:val="00F61DA1"/>
    <w:rsid w:val="00F92D92"/>
    <w:rsid w:val="00F97F90"/>
    <w:rsid w:val="00FA0F4F"/>
    <w:rsid w:val="00FA595C"/>
    <w:rsid w:val="00FA6C61"/>
    <w:rsid w:val="00FB42B4"/>
    <w:rsid w:val="00FB5F1A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User17</cp:lastModifiedBy>
  <cp:revision>8</cp:revision>
  <cp:lastPrinted>2016-05-05T05:51:00Z</cp:lastPrinted>
  <dcterms:created xsi:type="dcterms:W3CDTF">2016-05-04T09:42:00Z</dcterms:created>
  <dcterms:modified xsi:type="dcterms:W3CDTF">2016-05-05T05:51:00Z</dcterms:modified>
</cp:coreProperties>
</file>