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C72AF" w:rsidP="008628DC">
      <w:pPr>
        <w:pStyle w:val="Default"/>
        <w:ind w:left="5954"/>
        <w:jc w:val="right"/>
        <w:rPr>
          <w:color w:val="auto"/>
        </w:rPr>
      </w:pPr>
      <w:r w:rsidRPr="008E7F89">
        <w:rPr>
          <w:color w:val="auto"/>
        </w:rPr>
        <w:t>Утверждаю</w:t>
      </w:r>
    </w:p>
    <w:p w:rsidR="00FC72AF" w:rsidRPr="008E7F89" w:rsidRDefault="00FC72AF" w:rsidP="008628DC">
      <w:pPr>
        <w:pStyle w:val="Default"/>
        <w:ind w:left="5954"/>
        <w:jc w:val="right"/>
        <w:rPr>
          <w:color w:val="auto"/>
        </w:rPr>
      </w:pPr>
      <w:r>
        <w:rPr>
          <w:color w:val="auto"/>
        </w:rPr>
        <w:t>____________________________</w:t>
      </w:r>
    </w:p>
    <w:p w:rsidR="00FC72AF" w:rsidRPr="008E7F89" w:rsidRDefault="00FC72AF" w:rsidP="008628DC">
      <w:pPr>
        <w:pStyle w:val="Default"/>
        <w:ind w:left="5954"/>
        <w:jc w:val="right"/>
        <w:rPr>
          <w:color w:val="auto"/>
        </w:rPr>
      </w:pPr>
      <w:r>
        <w:rPr>
          <w:color w:val="auto"/>
        </w:rPr>
        <w:t>____________________________</w:t>
      </w:r>
    </w:p>
    <w:p w:rsidR="00497D15" w:rsidRDefault="00FC72AF" w:rsidP="00497D15">
      <w:pPr>
        <w:pStyle w:val="Default"/>
        <w:rPr>
          <w:color w:val="auto"/>
        </w:rPr>
      </w:pPr>
      <w:r>
        <w:rPr>
          <w:color w:val="auto"/>
        </w:rPr>
        <w:t xml:space="preserve">                                                                                                                </w:t>
      </w:r>
      <w:r w:rsidR="00497D15">
        <w:rPr>
          <w:color w:val="auto"/>
        </w:rPr>
        <w:t>_____________</w:t>
      </w:r>
      <w:r w:rsidR="00497D15" w:rsidRPr="008E7F89">
        <w:rPr>
          <w:color w:val="auto"/>
        </w:rPr>
        <w:t>/</w:t>
      </w:r>
      <w:r w:rsidR="00497D15">
        <w:rPr>
          <w:color w:val="auto"/>
        </w:rPr>
        <w:t>_____________</w:t>
      </w:r>
      <w:r w:rsidR="00497D15" w:rsidRPr="008E7F89">
        <w:rPr>
          <w:color w:val="auto"/>
        </w:rPr>
        <w:t>/</w:t>
      </w:r>
      <w:r w:rsidR="00497D15">
        <w:rPr>
          <w:color w:val="auto"/>
        </w:rPr>
        <w:t xml:space="preserve"> </w:t>
      </w:r>
    </w:p>
    <w:p w:rsidR="00497D15" w:rsidRPr="008E7F89" w:rsidRDefault="00497D15" w:rsidP="00497D15">
      <w:pPr>
        <w:pStyle w:val="Default"/>
        <w:rPr>
          <w:color w:val="auto"/>
        </w:rPr>
      </w:pPr>
    </w:p>
    <w:p w:rsidR="00FC72AF" w:rsidRPr="008E7F89" w:rsidRDefault="00FC72AF" w:rsidP="008628DC">
      <w:pPr>
        <w:pStyle w:val="Default"/>
        <w:rPr>
          <w:color w:val="auto"/>
        </w:rPr>
      </w:pPr>
      <w:r>
        <w:rPr>
          <w:color w:val="auto"/>
        </w:rPr>
        <w:t xml:space="preserve">    </w:t>
      </w:r>
      <w:r w:rsidR="00497D15">
        <w:rPr>
          <w:color w:val="auto"/>
        </w:rPr>
        <w:t xml:space="preserve">                       </w:t>
      </w:r>
    </w:p>
    <w:p w:rsidR="00FC72AF" w:rsidRPr="008E7F89" w:rsidRDefault="00FC72AF" w:rsidP="008628DC">
      <w:pPr>
        <w:pStyle w:val="Default"/>
        <w:ind w:left="5954"/>
        <w:jc w:val="right"/>
        <w:rPr>
          <w:color w:val="auto"/>
        </w:rPr>
      </w:pPr>
      <w:r w:rsidRPr="008E7F89">
        <w:rPr>
          <w:color w:val="auto"/>
        </w:rPr>
        <w:t>«____» _______________ 20__г.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AB2D0F">
        <w:rPr>
          <w:color w:val="auto"/>
        </w:rPr>
        <w:t>крыши, фасада, подвала МКД №205</w:t>
      </w:r>
      <w:r>
        <w:rPr>
          <w:color w:val="auto"/>
        </w:rPr>
        <w:t xml:space="preserve"> по ул. </w:t>
      </w:r>
      <w:r w:rsidR="00AB2D0F">
        <w:rPr>
          <w:color w:val="auto"/>
        </w:rPr>
        <w:t xml:space="preserve">Дзержинского </w:t>
      </w:r>
      <w:r w:rsidRPr="008E7F89">
        <w:rPr>
          <w:color w:val="auto"/>
        </w:rPr>
        <w:t>г.</w:t>
      </w:r>
      <w:r>
        <w:rPr>
          <w:color w:val="auto"/>
        </w:rPr>
        <w:t xml:space="preserve"> </w:t>
      </w:r>
      <w:r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AB2D0F">
        <w:rPr>
          <w:sz w:val="24"/>
          <w:szCs w:val="24"/>
        </w:rPr>
        <w:t>ООО «УК РСУ-5»</w:t>
      </w:r>
    </w:p>
    <w:p w:rsidR="00FC72AF" w:rsidRPr="008E7F89" w:rsidRDefault="00FC72AF" w:rsidP="008628DC">
      <w:pPr>
        <w:jc w:val="both"/>
        <w:rPr>
          <w:sz w:val="24"/>
          <w:szCs w:val="24"/>
        </w:rPr>
      </w:pPr>
      <w:r w:rsidRPr="008E7F89">
        <w:rPr>
          <w:sz w:val="24"/>
          <w:szCs w:val="24"/>
        </w:rPr>
        <w:t xml:space="preserve">Юридический адрес: </w:t>
      </w:r>
      <w:r w:rsidR="00AB2D0F">
        <w:rPr>
          <w:sz w:val="24"/>
          <w:szCs w:val="24"/>
        </w:rPr>
        <w:t xml:space="preserve">236004 г. Калининград, ул. </w:t>
      </w:r>
      <w:proofErr w:type="gramStart"/>
      <w:r w:rsidR="00AB2D0F">
        <w:rPr>
          <w:sz w:val="24"/>
          <w:szCs w:val="24"/>
        </w:rPr>
        <w:t>Яблочная</w:t>
      </w:r>
      <w:proofErr w:type="gramEnd"/>
      <w:r w:rsidR="00AB2D0F">
        <w:rPr>
          <w:sz w:val="24"/>
          <w:szCs w:val="24"/>
        </w:rPr>
        <w:t>, 3</w:t>
      </w:r>
    </w:p>
    <w:p w:rsidR="00FC72AF" w:rsidRPr="008E7F89" w:rsidRDefault="00FC72AF" w:rsidP="008628DC">
      <w:pPr>
        <w:jc w:val="both"/>
        <w:rPr>
          <w:sz w:val="24"/>
          <w:szCs w:val="24"/>
        </w:rPr>
      </w:pPr>
      <w:r w:rsidRPr="008E7F89">
        <w:rPr>
          <w:sz w:val="24"/>
          <w:szCs w:val="24"/>
        </w:rPr>
        <w:t xml:space="preserve">Физический адрес: </w:t>
      </w:r>
      <w:r w:rsidR="00AB2D0F">
        <w:rPr>
          <w:sz w:val="24"/>
          <w:szCs w:val="24"/>
        </w:rPr>
        <w:t xml:space="preserve">236004 г. Калининград, ул. </w:t>
      </w:r>
      <w:proofErr w:type="gramStart"/>
      <w:r w:rsidR="00AB2D0F">
        <w:rPr>
          <w:sz w:val="24"/>
          <w:szCs w:val="24"/>
        </w:rPr>
        <w:t>Яблочная</w:t>
      </w:r>
      <w:proofErr w:type="gramEnd"/>
      <w:r w:rsidR="00AB2D0F">
        <w:rPr>
          <w:sz w:val="24"/>
          <w:szCs w:val="24"/>
        </w:rPr>
        <w:t>, 3</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AB2D0F">
        <w:t>3 057 952</w:t>
      </w:r>
      <w:r w:rsidR="00AB2D0F" w:rsidRPr="008E7F89">
        <w:t xml:space="preserve"> (</w:t>
      </w:r>
      <w:r w:rsidR="00AB2D0F">
        <w:t>три миллиона пятьдесят семь тысяч девятьсот пятьдесят два) рубля</w:t>
      </w:r>
      <w:r w:rsidR="00AB2D0F" w:rsidRPr="008E7F89">
        <w:t xml:space="preserve">, в том числе НДС 18%: </w:t>
      </w:r>
      <w:r w:rsidR="00AB2D0F">
        <w:t>466 467</w:t>
      </w:r>
      <w:r w:rsidR="00AB2D0F" w:rsidRPr="008E7F89">
        <w:t xml:space="preserve"> (</w:t>
      </w:r>
      <w:r w:rsidR="00AB2D0F">
        <w:t>четыреста шестьдесят шесть тысяч четыреста шестьдесят семь</w:t>
      </w:r>
      <w:r w:rsidR="00AB2D0F" w:rsidRPr="008E7F89">
        <w:t xml:space="preserve">) рублей </w:t>
      </w:r>
      <w:r w:rsidR="00AB2D0F">
        <w:t>25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280A8C">
        <w:rPr>
          <w:color w:val="auto"/>
        </w:rPr>
        <w:t xml:space="preserve">                </w:t>
      </w:r>
      <w:bookmarkStart w:id="0" w:name="_GoBack"/>
      <w:bookmarkEnd w:id="0"/>
      <w:r w:rsidRPr="008E7F89">
        <w:rPr>
          <w:color w:val="auto"/>
        </w:rPr>
        <w:t>"</w:t>
      </w:r>
      <w:r w:rsidR="00280A8C">
        <w:rPr>
          <w:color w:val="auto"/>
        </w:rPr>
        <w:t>05</w:t>
      </w:r>
      <w:r w:rsidRPr="008E7F89">
        <w:rPr>
          <w:color w:val="auto"/>
        </w:rPr>
        <w:t xml:space="preserve">" </w:t>
      </w:r>
      <w:r w:rsidR="00280A8C">
        <w:rPr>
          <w:color w:val="auto"/>
        </w:rPr>
        <w:t>мая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80A8C"/>
    <w:rsid w:val="002F2E53"/>
    <w:rsid w:val="003011E9"/>
    <w:rsid w:val="003C7FC1"/>
    <w:rsid w:val="00497D15"/>
    <w:rsid w:val="006D355C"/>
    <w:rsid w:val="007A5865"/>
    <w:rsid w:val="00AB2D0F"/>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E7226-1DB6-4874-9B08-EC2225AB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5241</Words>
  <Characters>29874</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2014-03-03T12:16:00Z</cp:lastPrinted>
  <dcterms:created xsi:type="dcterms:W3CDTF">2014-02-28T12:44:00Z</dcterms:created>
  <dcterms:modified xsi:type="dcterms:W3CDTF">2014-04-03T06:20:00Z</dcterms:modified>
</cp:coreProperties>
</file>