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p>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«ЖЭУ-23»</w:t>
      </w:r>
    </w:p>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p>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w:t>
      </w:r>
      <w:proofErr w:type="spellStart"/>
      <w:r>
        <w:rPr>
          <w:rFonts w:ascii="Times New Roman" w:eastAsia="Calibri" w:hAnsi="Times New Roman" w:cs="Times New Roman"/>
          <w:sz w:val="24"/>
          <w:szCs w:val="24"/>
        </w:rPr>
        <w:t>Ярмошик</w:t>
      </w:r>
      <w:proofErr w:type="spellEnd"/>
      <w:r>
        <w:rPr>
          <w:rFonts w:ascii="Times New Roman" w:eastAsia="Calibri" w:hAnsi="Times New Roman" w:cs="Times New Roman"/>
          <w:sz w:val="24"/>
          <w:szCs w:val="24"/>
        </w:rPr>
        <w:t xml:space="preserve"> И.Г./</w:t>
      </w:r>
    </w:p>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p>
    <w:p w:rsidR="00240B15" w:rsidRDefault="00240B15" w:rsidP="00240B1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3888">
        <w:rPr>
          <w:rFonts w:ascii="Times New Roman" w:eastAsia="Calibri" w:hAnsi="Times New Roman" w:cs="Times New Roman"/>
          <w:sz w:val="24"/>
          <w:szCs w:val="24"/>
        </w:rPr>
        <w:t>02</w:t>
      </w:r>
      <w:r>
        <w:rPr>
          <w:rFonts w:ascii="Times New Roman" w:eastAsia="Calibri" w:hAnsi="Times New Roman" w:cs="Times New Roman"/>
          <w:sz w:val="24"/>
          <w:szCs w:val="24"/>
        </w:rPr>
        <w:t xml:space="preserve">    » июня 2016 г.</w:t>
      </w:r>
    </w:p>
    <w:p w:rsidR="00240B15" w:rsidRDefault="00240B15" w:rsidP="00E224AC">
      <w:pPr>
        <w:autoSpaceDE w:val="0"/>
        <w:autoSpaceDN w:val="0"/>
        <w:adjustRightInd w:val="0"/>
        <w:spacing w:after="0" w:line="240" w:lineRule="auto"/>
        <w:jc w:val="center"/>
        <w:rPr>
          <w:rFonts w:ascii="Times New Roman" w:eastAsia="Calibri" w:hAnsi="Times New Roman" w:cs="Times New Roman"/>
          <w:sz w:val="24"/>
          <w:szCs w:val="24"/>
        </w:rPr>
      </w:pPr>
    </w:p>
    <w:p w:rsidR="00240B15" w:rsidRDefault="00240B15" w:rsidP="00E224AC">
      <w:pPr>
        <w:autoSpaceDE w:val="0"/>
        <w:autoSpaceDN w:val="0"/>
        <w:adjustRightInd w:val="0"/>
        <w:spacing w:after="0" w:line="240" w:lineRule="auto"/>
        <w:jc w:val="center"/>
        <w:rPr>
          <w:rFonts w:ascii="Times New Roman" w:eastAsia="Calibri" w:hAnsi="Times New Roman" w:cs="Times New Roman"/>
          <w:sz w:val="24"/>
          <w:szCs w:val="24"/>
        </w:rPr>
      </w:pPr>
    </w:p>
    <w:p w:rsidR="00240B15" w:rsidRDefault="00240B15" w:rsidP="00E224AC">
      <w:pPr>
        <w:autoSpaceDE w:val="0"/>
        <w:autoSpaceDN w:val="0"/>
        <w:adjustRightInd w:val="0"/>
        <w:spacing w:after="0" w:line="240" w:lineRule="auto"/>
        <w:jc w:val="center"/>
        <w:rPr>
          <w:rFonts w:ascii="Times New Roman" w:eastAsia="Calibri" w:hAnsi="Times New Roman" w:cs="Times New Roman"/>
          <w:sz w:val="24"/>
          <w:szCs w:val="24"/>
        </w:rPr>
      </w:pPr>
    </w:p>
    <w:p w:rsidR="00240B15" w:rsidRDefault="00240B15"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E19DC">
        <w:rPr>
          <w:rFonts w:ascii="Times New Roman" w:eastAsia="Calibri" w:hAnsi="Times New Roman" w:cs="Times New Roman"/>
          <w:sz w:val="24"/>
          <w:szCs w:val="24"/>
        </w:rPr>
        <w:t xml:space="preserve">системы холодного водоснабжения </w:t>
      </w:r>
      <w:r w:rsidRPr="00E224AC">
        <w:rPr>
          <w:rFonts w:ascii="Times New Roman" w:eastAsia="Calibri" w:hAnsi="Times New Roman" w:cs="Times New Roman"/>
          <w:sz w:val="24"/>
          <w:szCs w:val="24"/>
        </w:rPr>
        <w:t xml:space="preserve">МКД № </w:t>
      </w:r>
      <w:r w:rsidR="00FE19DC">
        <w:rPr>
          <w:rFonts w:ascii="Times New Roman" w:eastAsia="Calibri" w:hAnsi="Times New Roman" w:cs="Times New Roman"/>
          <w:sz w:val="24"/>
          <w:szCs w:val="24"/>
        </w:rPr>
        <w:t>23-33</w:t>
      </w:r>
      <w:r w:rsidRPr="00E224AC">
        <w:rPr>
          <w:rFonts w:ascii="Times New Roman" w:eastAsia="Calibri" w:hAnsi="Times New Roman" w:cs="Times New Roman"/>
          <w:sz w:val="24"/>
          <w:szCs w:val="24"/>
        </w:rPr>
        <w:t xml:space="preserve"> по ул. </w:t>
      </w:r>
      <w:proofErr w:type="gramStart"/>
      <w:r w:rsidR="00FE19DC">
        <w:rPr>
          <w:rFonts w:ascii="Times New Roman" w:eastAsia="Calibri" w:hAnsi="Times New Roman" w:cs="Times New Roman"/>
          <w:sz w:val="24"/>
          <w:szCs w:val="24"/>
        </w:rPr>
        <w:t>Дорожная</w:t>
      </w:r>
      <w:proofErr w:type="gramEnd"/>
      <w:r w:rsidR="00FE19DC">
        <w:rPr>
          <w:rFonts w:ascii="Times New Roman" w:eastAsia="Calibri" w:hAnsi="Times New Roman" w:cs="Times New Roman"/>
          <w:sz w:val="24"/>
          <w:szCs w:val="24"/>
        </w:rPr>
        <w:t xml:space="preserve"> в </w:t>
      </w:r>
      <w:r w:rsidRPr="00E224AC">
        <w:rPr>
          <w:rFonts w:ascii="Times New Roman" w:eastAsia="Calibri" w:hAnsi="Times New Roman" w:cs="Times New Roman"/>
          <w:sz w:val="24"/>
          <w:szCs w:val="24"/>
        </w:rPr>
        <w:t>г. Калининград</w:t>
      </w:r>
      <w:r w:rsidR="00FE19DC">
        <w:rPr>
          <w:rFonts w:ascii="Times New Roman" w:eastAsia="Calibri" w:hAnsi="Times New Roman" w:cs="Times New Roman"/>
          <w:sz w:val="24"/>
          <w:szCs w:val="24"/>
        </w:rPr>
        <w:t>е</w:t>
      </w:r>
      <w:r w:rsidRPr="00E224AC">
        <w:rPr>
          <w:rFonts w:ascii="Times New Roman" w:eastAsia="Calibri" w:hAnsi="Times New Roman" w:cs="Times New Roman"/>
          <w:sz w:val="24"/>
          <w:szCs w:val="24"/>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sidR="00BD123E">
        <w:rPr>
          <w:rFonts w:ascii="Times New Roman" w:eastAsia="Times New Roman" w:hAnsi="Times New Roman" w:cs="Times New Roman"/>
          <w:sz w:val="24"/>
          <w:szCs w:val="24"/>
          <w:lang w:eastAsia="ru-RU"/>
        </w:rPr>
        <w:t>ООО «ЖЭУ-23»</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00CD56B6">
        <w:rPr>
          <w:rFonts w:ascii="Times New Roman" w:eastAsia="Times New Roman" w:hAnsi="Times New Roman" w:cs="Times New Roman"/>
          <w:sz w:val="24"/>
          <w:szCs w:val="24"/>
          <w:lang w:eastAsia="ru-RU"/>
        </w:rPr>
        <w:t>РФ, г. Калининград, ул. Нарвская 53-1А.</w:t>
      </w:r>
    </w:p>
    <w:p w:rsidR="00CD56B6" w:rsidRPr="00E224AC" w:rsidRDefault="00E224AC" w:rsidP="00CD56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Фактический адрес: </w:t>
      </w:r>
      <w:r w:rsidR="00CD56B6">
        <w:rPr>
          <w:rFonts w:ascii="Times New Roman" w:eastAsia="Times New Roman" w:hAnsi="Times New Roman" w:cs="Times New Roman"/>
          <w:sz w:val="24"/>
          <w:szCs w:val="24"/>
          <w:lang w:eastAsia="ru-RU"/>
        </w:rPr>
        <w:t>РФ, г. Калининград, ул. Нарвская 53-1А.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Начальная (максимальная) цена договора подряда: </w:t>
      </w:r>
      <w:r w:rsidR="00BD123E">
        <w:rPr>
          <w:rFonts w:ascii="Times New Roman" w:eastAsia="Calibri" w:hAnsi="Times New Roman" w:cs="Times New Roman"/>
          <w:color w:val="000000"/>
          <w:sz w:val="24"/>
          <w:szCs w:val="24"/>
        </w:rPr>
        <w:t>496 607</w:t>
      </w:r>
      <w:r w:rsidRPr="00E224AC">
        <w:rPr>
          <w:rFonts w:ascii="Times New Roman" w:eastAsia="Calibri" w:hAnsi="Times New Roman" w:cs="Times New Roman"/>
          <w:color w:val="000000"/>
          <w:sz w:val="24"/>
          <w:szCs w:val="24"/>
        </w:rPr>
        <w:t xml:space="preserve"> (</w:t>
      </w:r>
      <w:proofErr w:type="gramStart"/>
      <w:r w:rsidR="00BD123E">
        <w:rPr>
          <w:rFonts w:ascii="Times New Roman" w:eastAsia="Calibri" w:hAnsi="Times New Roman" w:cs="Times New Roman"/>
          <w:color w:val="000000"/>
          <w:sz w:val="24"/>
          <w:szCs w:val="24"/>
        </w:rPr>
        <w:t>четыреста девяноста</w:t>
      </w:r>
      <w:proofErr w:type="gramEnd"/>
      <w:r w:rsidR="00BD123E">
        <w:rPr>
          <w:rFonts w:ascii="Times New Roman" w:eastAsia="Calibri" w:hAnsi="Times New Roman" w:cs="Times New Roman"/>
          <w:color w:val="000000"/>
          <w:sz w:val="24"/>
          <w:szCs w:val="24"/>
        </w:rPr>
        <w:t xml:space="preserve"> шесть тысяч шестьсот семь</w:t>
      </w:r>
      <w:r w:rsidRPr="00E224AC">
        <w:rPr>
          <w:rFonts w:ascii="Times New Roman" w:eastAsia="Calibri" w:hAnsi="Times New Roman" w:cs="Times New Roman"/>
          <w:color w:val="000000"/>
          <w:sz w:val="24"/>
          <w:szCs w:val="24"/>
        </w:rPr>
        <w:t xml:space="preserve">) рублей, в том числе НДС 18%: </w:t>
      </w:r>
      <w:r w:rsidR="00BD123E">
        <w:rPr>
          <w:rFonts w:ascii="Times New Roman" w:eastAsia="Calibri" w:hAnsi="Times New Roman" w:cs="Times New Roman"/>
          <w:color w:val="000000"/>
          <w:sz w:val="24"/>
          <w:szCs w:val="24"/>
        </w:rPr>
        <w:t>75 753</w:t>
      </w:r>
      <w:r w:rsidRPr="00E224AC">
        <w:rPr>
          <w:rFonts w:ascii="Times New Roman" w:eastAsia="Calibri" w:hAnsi="Times New Roman" w:cs="Times New Roman"/>
          <w:color w:val="000000"/>
          <w:sz w:val="24"/>
          <w:szCs w:val="24"/>
        </w:rPr>
        <w:t xml:space="preserve"> (</w:t>
      </w:r>
      <w:r w:rsidR="00BD123E">
        <w:rPr>
          <w:rFonts w:ascii="Times New Roman" w:eastAsia="Calibri" w:hAnsi="Times New Roman" w:cs="Times New Roman"/>
          <w:color w:val="000000"/>
          <w:sz w:val="24"/>
          <w:szCs w:val="24"/>
        </w:rPr>
        <w:t>семьдесят пять тысяч семьсот пятьдесят три</w:t>
      </w:r>
      <w:r w:rsidRPr="00E224AC">
        <w:rPr>
          <w:rFonts w:ascii="Times New Roman" w:eastAsia="Calibri" w:hAnsi="Times New Roman" w:cs="Times New Roman"/>
          <w:color w:val="000000"/>
          <w:sz w:val="24"/>
          <w:szCs w:val="24"/>
        </w:rPr>
        <w:t>) рубл</w:t>
      </w:r>
      <w:r w:rsidR="00BD123E">
        <w:rPr>
          <w:rFonts w:ascii="Times New Roman" w:eastAsia="Calibri" w:hAnsi="Times New Roman" w:cs="Times New Roman"/>
          <w:color w:val="000000"/>
          <w:sz w:val="24"/>
          <w:szCs w:val="24"/>
        </w:rPr>
        <w:t>я 61 копейка.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4F3888">
        <w:rPr>
          <w:rFonts w:ascii="Times New Roman" w:eastAsia="Calibri" w:hAnsi="Times New Roman" w:cs="Times New Roman"/>
          <w:sz w:val="24"/>
          <w:szCs w:val="24"/>
        </w:rPr>
        <w:t>07</w:t>
      </w:r>
      <w:r w:rsidRPr="00E224AC">
        <w:rPr>
          <w:rFonts w:ascii="Times New Roman" w:eastAsia="Calibri" w:hAnsi="Times New Roman" w:cs="Times New Roman"/>
          <w:sz w:val="24"/>
          <w:szCs w:val="24"/>
        </w:rPr>
        <w:t xml:space="preserve">" </w:t>
      </w:r>
      <w:r w:rsidR="004F3888">
        <w:rPr>
          <w:rFonts w:ascii="Times New Roman" w:eastAsia="Calibri" w:hAnsi="Times New Roman" w:cs="Times New Roman"/>
          <w:sz w:val="24"/>
          <w:szCs w:val="24"/>
        </w:rPr>
        <w:t>07.</w:t>
      </w:r>
      <w:bookmarkStart w:id="0" w:name="_GoBack"/>
      <w:bookmarkEnd w:id="0"/>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BD123E">
        <w:rPr>
          <w:rFonts w:ascii="Times New Roman" w:eastAsia="Calibri" w:hAnsi="Times New Roman" w:cs="Times New Roman"/>
          <w:sz w:val="24"/>
          <w:szCs w:val="24"/>
        </w:rPr>
        <w:t>14 898</w:t>
      </w:r>
      <w:r w:rsidR="001C4C5D">
        <w:rPr>
          <w:rFonts w:ascii="Times New Roman" w:eastAsia="Calibri" w:hAnsi="Times New Roman" w:cs="Times New Roman"/>
          <w:sz w:val="24"/>
          <w:szCs w:val="24"/>
        </w:rPr>
        <w:t xml:space="preserve"> (</w:t>
      </w:r>
      <w:r w:rsidR="00BD123E">
        <w:rPr>
          <w:rFonts w:ascii="Times New Roman" w:eastAsia="Calibri" w:hAnsi="Times New Roman" w:cs="Times New Roman"/>
          <w:sz w:val="24"/>
          <w:szCs w:val="24"/>
        </w:rPr>
        <w:t xml:space="preserve">четырнадцать тысяч </w:t>
      </w:r>
      <w:proofErr w:type="gramStart"/>
      <w:r w:rsidR="00BD123E">
        <w:rPr>
          <w:rFonts w:ascii="Times New Roman" w:eastAsia="Calibri" w:hAnsi="Times New Roman" w:cs="Times New Roman"/>
          <w:sz w:val="24"/>
          <w:szCs w:val="24"/>
        </w:rPr>
        <w:t>восемьсот девяноста</w:t>
      </w:r>
      <w:proofErr w:type="gramEnd"/>
      <w:r w:rsidR="00BD123E">
        <w:rPr>
          <w:rFonts w:ascii="Times New Roman" w:eastAsia="Calibri" w:hAnsi="Times New Roman" w:cs="Times New Roman"/>
          <w:sz w:val="24"/>
          <w:szCs w:val="24"/>
        </w:rPr>
        <w:t xml:space="preserve"> восемь</w:t>
      </w:r>
      <w:r w:rsidR="001C4C5D">
        <w:rPr>
          <w:rFonts w:ascii="Times New Roman" w:eastAsia="Calibri" w:hAnsi="Times New Roman" w:cs="Times New Roman"/>
          <w:sz w:val="24"/>
          <w:szCs w:val="24"/>
        </w:rPr>
        <w:t>) рубл</w:t>
      </w:r>
      <w:r w:rsidR="00BD123E">
        <w:rPr>
          <w:rFonts w:ascii="Times New Roman" w:eastAsia="Calibri" w:hAnsi="Times New Roman" w:cs="Times New Roman"/>
          <w:sz w:val="24"/>
          <w:szCs w:val="24"/>
        </w:rPr>
        <w:t>ей 21 копейку</w:t>
      </w:r>
      <w:r w:rsidRPr="00E224AC">
        <w:rPr>
          <w:rFonts w:ascii="Times New Roman" w:eastAsia="Calibri" w:hAnsi="Times New Roman" w:cs="Times New Roman"/>
          <w:sz w:val="24"/>
          <w:szCs w:val="24"/>
        </w:rPr>
        <w:t xml:space="preserve"> (</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E224AC">
        <w:rPr>
          <w:rFonts w:ascii="Times New Roman" w:eastAsia="Calibri"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E224AC">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E224AC">
        <w:rPr>
          <w:rFonts w:ascii="Times New Roman" w:eastAsia="Calibri" w:hAnsi="Times New Roman" w:cs="Times New Roman"/>
          <w:sz w:val="24"/>
          <w:szCs w:val="24"/>
        </w:rPr>
        <w:lastRenderedPageBreak/>
        <w:t>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w:t>
      </w:r>
      <w:r w:rsidRPr="00E224AC">
        <w:rPr>
          <w:rFonts w:ascii="Times New Roman" w:eastAsia="Calibri" w:hAnsi="Times New Roman" w:cs="Times New Roman"/>
          <w:kern w:val="3"/>
          <w:sz w:val="24"/>
          <w:szCs w:val="24"/>
        </w:rPr>
        <w:lastRenderedPageBreak/>
        <w:t>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E224AC">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sidRPr="00E224AC">
        <w:rPr>
          <w:rFonts w:ascii="Times New Roman" w:eastAsia="Calibri" w:hAnsi="Times New Roman" w:cs="Times New Roman"/>
          <w:sz w:val="24"/>
          <w:szCs w:val="24"/>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Результат ранжирования </w:t>
            </w:r>
            <w:r w:rsidRPr="00E224AC">
              <w:rPr>
                <w:rFonts w:ascii="Times New Roman" w:eastAsia="Calibri" w:hAnsi="Times New Roman" w:cs="Times New Roman"/>
                <w:sz w:val="24"/>
                <w:szCs w:val="24"/>
              </w:rPr>
              <w:lastRenderedPageBreak/>
              <w:t>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w:t>
      </w:r>
      <w:r w:rsidRPr="00E224AC">
        <w:rPr>
          <w:rFonts w:ascii="Times New Roman" w:eastAsia="Calibri" w:hAnsi="Times New Roman" w:cs="Times New Roman"/>
          <w:sz w:val="24"/>
          <w:szCs w:val="24"/>
        </w:rPr>
        <w:lastRenderedPageBreak/>
        <w:t xml:space="preserve">(далее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w:t>
      </w:r>
      <w:r w:rsidRPr="00E224AC">
        <w:rPr>
          <w:rFonts w:ascii="Times New Roman" w:eastAsia="Calibri" w:hAnsi="Times New Roman" w:cs="Times New Roman"/>
          <w:sz w:val="24"/>
          <w:szCs w:val="24"/>
        </w:rPr>
        <w:lastRenderedPageBreak/>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E224AC">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C4C5D"/>
    <w:rsid w:val="001D5CD1"/>
    <w:rsid w:val="00240A9C"/>
    <w:rsid w:val="00240B15"/>
    <w:rsid w:val="004F3888"/>
    <w:rsid w:val="0070352A"/>
    <w:rsid w:val="00713E49"/>
    <w:rsid w:val="00A55742"/>
    <w:rsid w:val="00A77EEC"/>
    <w:rsid w:val="00AE7DC3"/>
    <w:rsid w:val="00B036FA"/>
    <w:rsid w:val="00B04ED1"/>
    <w:rsid w:val="00B96F86"/>
    <w:rsid w:val="00BA7998"/>
    <w:rsid w:val="00BD123E"/>
    <w:rsid w:val="00CD56B6"/>
    <w:rsid w:val="00D80646"/>
    <w:rsid w:val="00DD7C26"/>
    <w:rsid w:val="00E224AC"/>
    <w:rsid w:val="00EA6CA8"/>
    <w:rsid w:val="00EF74A6"/>
    <w:rsid w:val="00FA103C"/>
    <w:rsid w:val="00FE19D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10115</Words>
  <Characters>57657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2016-05-26T12:28:00Z</dcterms:created>
  <dcterms:modified xsi:type="dcterms:W3CDTF">2016-06-03T07:35:00Z</dcterms:modified>
</cp:coreProperties>
</file>