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61500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861642" w:rsidRDefault="00512CFA" w:rsidP="00AB6934">
            <w:pPr>
              <w:snapToGrid w:val="0"/>
              <w:spacing w:before="60" w:after="60"/>
              <w:rPr>
                <w:rFonts w:ascii="Times New Roman" w:hAnsi="Times New Roman" w:cs="Times New Roman"/>
                <w:sz w:val="24"/>
                <w:szCs w:val="24"/>
              </w:rPr>
            </w:pPr>
            <w:r w:rsidRPr="00861642">
              <w:rPr>
                <w:rFonts w:ascii="Times New Roman" w:hAnsi="Times New Roman" w:cs="Times New Roman"/>
                <w:sz w:val="24"/>
                <w:szCs w:val="24"/>
              </w:rPr>
              <w:t xml:space="preserve">Директор </w:t>
            </w:r>
            <w:r w:rsidR="00AB6934" w:rsidRPr="00861642">
              <w:rPr>
                <w:rFonts w:ascii="Times New Roman" w:hAnsi="Times New Roman" w:cs="Times New Roman"/>
                <w:sz w:val="24"/>
                <w:szCs w:val="24"/>
              </w:rPr>
              <w:t>МКУ «</w:t>
            </w:r>
            <w:proofErr w:type="gramStart"/>
            <w:r w:rsidR="00AB6934" w:rsidRPr="00861642">
              <w:rPr>
                <w:rFonts w:ascii="Times New Roman" w:hAnsi="Times New Roman" w:cs="Times New Roman"/>
                <w:sz w:val="24"/>
                <w:szCs w:val="24"/>
              </w:rPr>
              <w:t>КР</w:t>
            </w:r>
            <w:proofErr w:type="gramEnd"/>
            <w:r w:rsidR="00AB6934" w:rsidRPr="00861642">
              <w:rPr>
                <w:rFonts w:ascii="Times New Roman" w:hAnsi="Times New Roman" w:cs="Times New Roman"/>
                <w:sz w:val="24"/>
                <w:szCs w:val="24"/>
              </w:rPr>
              <w:t xml:space="preserve"> МКД»</w:t>
            </w:r>
            <w:r w:rsidRPr="00861642">
              <w:rPr>
                <w:rFonts w:ascii="Times New Roman" w:hAnsi="Times New Roman" w:cs="Times New Roman"/>
                <w:sz w:val="24"/>
                <w:szCs w:val="24"/>
              </w:rPr>
              <w:t xml:space="preserve">                                    </w:t>
            </w:r>
          </w:p>
        </w:tc>
        <w:tc>
          <w:tcPr>
            <w:tcW w:w="5103" w:type="dxa"/>
          </w:tcPr>
          <w:p w:rsidR="00512CFA" w:rsidRPr="00861642" w:rsidRDefault="00861642" w:rsidP="00861642">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861642">
              <w:rPr>
                <w:rFonts w:ascii="Times New Roman" w:hAnsi="Times New Roman" w:cs="Times New Roman"/>
                <w:sz w:val="24"/>
                <w:szCs w:val="24"/>
              </w:rPr>
              <w:t>Председатель правления  ЖСК «Рубин»</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861642"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sidRPr="00861642">
              <w:rPr>
                <w:rFonts w:ascii="Times New Roman" w:hAnsi="Times New Roman" w:cs="Times New Roman"/>
                <w:sz w:val="24"/>
                <w:szCs w:val="24"/>
              </w:rPr>
              <w:t>_________</w:t>
            </w:r>
            <w:r w:rsidR="00A502FB" w:rsidRPr="00861642">
              <w:rPr>
                <w:rFonts w:ascii="Times New Roman" w:hAnsi="Times New Roman" w:cs="Times New Roman"/>
                <w:sz w:val="24"/>
                <w:szCs w:val="24"/>
              </w:rPr>
              <w:t>_</w:t>
            </w:r>
            <w:r w:rsidR="00512CFA" w:rsidRPr="00861642">
              <w:rPr>
                <w:rFonts w:ascii="Times New Roman" w:hAnsi="Times New Roman" w:cs="Times New Roman"/>
                <w:sz w:val="24"/>
                <w:szCs w:val="24"/>
              </w:rPr>
              <w:t>/</w:t>
            </w:r>
            <w:r w:rsidR="00861642" w:rsidRPr="00861642">
              <w:rPr>
                <w:rFonts w:ascii="Times New Roman" w:hAnsi="Times New Roman" w:cs="Times New Roman"/>
                <w:sz w:val="24"/>
                <w:szCs w:val="24"/>
              </w:rPr>
              <w:t>Кононенко Н.П</w:t>
            </w:r>
            <w:r w:rsidR="00615007" w:rsidRPr="00861642">
              <w:rPr>
                <w:rFonts w:ascii="Times New Roman" w:hAnsi="Times New Roman" w:cs="Times New Roman"/>
                <w:sz w:val="24"/>
                <w:szCs w:val="24"/>
              </w:rPr>
              <w:t>.</w:t>
            </w:r>
            <w:r w:rsidR="0039024E" w:rsidRPr="00861642">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615007" w:rsidRPr="004A333D" w:rsidRDefault="00615007" w:rsidP="00510B13">
      <w:pPr>
        <w:spacing w:before="240" w:after="0" w:line="240" w:lineRule="auto"/>
        <w:jc w:val="center"/>
        <w:rPr>
          <w:rFonts w:ascii="Times New Roman" w:hAnsi="Times New Roman" w:cs="Times New Roman"/>
          <w:b/>
          <w:sz w:val="24"/>
          <w:szCs w:val="24"/>
        </w:rPr>
      </w:pPr>
    </w:p>
    <w:tbl>
      <w:tblPr>
        <w:tblW w:w="0" w:type="auto"/>
        <w:tblLayout w:type="fixed"/>
        <w:tblCellMar>
          <w:left w:w="0" w:type="dxa"/>
          <w:right w:w="0" w:type="dxa"/>
        </w:tblCellMar>
        <w:tblLook w:val="0000" w:firstRow="0" w:lastRow="0" w:firstColumn="0" w:lastColumn="0" w:noHBand="0" w:noVBand="0"/>
      </w:tblPr>
      <w:tblGrid>
        <w:gridCol w:w="10205"/>
      </w:tblGrid>
      <w:tr w:rsidR="00FD3AD6" w:rsidRPr="009808BA" w:rsidTr="00FD3AD6">
        <w:trPr>
          <w:cantSplit/>
        </w:trPr>
        <w:tc>
          <w:tcPr>
            <w:tcW w:w="10205" w:type="dxa"/>
            <w:tcBorders>
              <w:top w:val="nil"/>
              <w:left w:val="nil"/>
              <w:bottom w:val="nil"/>
              <w:right w:val="nil"/>
            </w:tcBorders>
          </w:tcPr>
          <w:p w:rsidR="00FD3AD6" w:rsidRPr="00861642" w:rsidRDefault="00861642" w:rsidP="00861642">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861642">
              <w:rPr>
                <w:rFonts w:ascii="Times New Roman" w:hAnsi="Times New Roman" w:cs="Times New Roman"/>
                <w:sz w:val="24"/>
                <w:szCs w:val="24"/>
              </w:rPr>
              <w:t>на выполнение работ по благоустройству дворовой территории МКД по ул.</w:t>
            </w:r>
            <w:r>
              <w:rPr>
                <w:rFonts w:ascii="Times New Roman" w:hAnsi="Times New Roman" w:cs="Times New Roman"/>
                <w:sz w:val="24"/>
                <w:szCs w:val="24"/>
              </w:rPr>
              <w:t xml:space="preserve"> </w:t>
            </w:r>
            <w:r w:rsidRPr="00861642">
              <w:rPr>
                <w:rFonts w:ascii="Times New Roman" w:hAnsi="Times New Roman" w:cs="Times New Roman"/>
                <w:sz w:val="24"/>
                <w:szCs w:val="24"/>
              </w:rPr>
              <w:t>Мариупольская,11-13, ул. Красноярская, 1-3 г. Калининград (по муниципальной программе "Формирование современной городской среды городского округа "Город Калининград")</w:t>
            </w:r>
          </w:p>
        </w:tc>
      </w:tr>
    </w:tbl>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861642">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proofErr w:type="gramStart"/>
            <w:r w:rsidR="00861642" w:rsidRPr="00861642">
              <w:rPr>
                <w:rFonts w:ascii="Times New Roman" w:hAnsi="Times New Roman" w:cs="Times New Roman"/>
                <w:sz w:val="24"/>
                <w:szCs w:val="24"/>
              </w:rPr>
              <w:t>Мариупольская</w:t>
            </w:r>
            <w:proofErr w:type="gramEnd"/>
            <w:r w:rsidR="00861642" w:rsidRPr="00861642">
              <w:rPr>
                <w:rFonts w:ascii="Times New Roman" w:hAnsi="Times New Roman" w:cs="Times New Roman"/>
                <w:sz w:val="24"/>
                <w:szCs w:val="24"/>
              </w:rPr>
              <w:t xml:space="preserve">,11-13, ул. Красноярская, 1-3 </w:t>
            </w:r>
            <w:r w:rsidR="00615007" w:rsidRPr="00615007">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9808BA">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7C7984">
              <w:rPr>
                <w:rFonts w:ascii="Times New Roman" w:hAnsi="Times New Roman" w:cs="Times New Roman"/>
                <w:sz w:val="24"/>
                <w:szCs w:val="24"/>
              </w:rPr>
              <w:t xml:space="preserve">                     </w:t>
            </w:r>
            <w:r w:rsidR="00151E11" w:rsidRPr="00151E11">
              <w:rPr>
                <w:rFonts w:ascii="Times New Roman" w:hAnsi="Times New Roman" w:cs="Times New Roman"/>
                <w:sz w:val="24"/>
                <w:szCs w:val="24"/>
              </w:rPr>
              <w:t>ЖСК</w:t>
            </w:r>
            <w:r w:rsidR="00CA01AA" w:rsidRPr="00151E11">
              <w:rPr>
                <w:rFonts w:ascii="Times New Roman" w:hAnsi="Times New Roman" w:cs="Times New Roman"/>
                <w:sz w:val="24"/>
                <w:szCs w:val="24"/>
              </w:rPr>
              <w:t xml:space="preserve"> «</w:t>
            </w:r>
            <w:r w:rsidR="009808BA">
              <w:rPr>
                <w:rFonts w:ascii="Times New Roman" w:hAnsi="Times New Roman" w:cs="Times New Roman"/>
                <w:sz w:val="24"/>
                <w:szCs w:val="24"/>
              </w:rPr>
              <w:t>Рубин</w:t>
            </w:r>
            <w:r w:rsidR="008C3C3A" w:rsidRPr="00151E11">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861642">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r w:rsidR="00861642" w:rsidRPr="00861642">
              <w:rPr>
                <w:rFonts w:ascii="Times New Roman" w:hAnsi="Times New Roman" w:cs="Times New Roman"/>
                <w:sz w:val="24"/>
                <w:szCs w:val="24"/>
              </w:rPr>
              <w:t xml:space="preserve">Мариупольская,11-13, ул. Красноярская, 1-3 </w:t>
            </w:r>
            <w:r w:rsidR="003028B1" w:rsidRPr="004A333D">
              <w:rPr>
                <w:rFonts w:ascii="Times New Roman" w:eastAsia="Calibri" w:hAnsi="Times New Roman" w:cs="Times New Roman"/>
                <w:sz w:val="24"/>
                <w:szCs w:val="24"/>
                <w:lang w:eastAsia="en-US"/>
              </w:rPr>
              <w:t xml:space="preserve">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720C8E" w:rsidRPr="008D2031" w:rsidRDefault="00720C8E" w:rsidP="00850FBA">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720C8E" w:rsidRPr="008D2031" w:rsidRDefault="00720C8E" w:rsidP="00850FBA">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sidR="00F523F8">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720C8E" w:rsidRPr="004A333D" w:rsidRDefault="00720C8E" w:rsidP="00850FBA">
            <w:pPr>
              <w:tabs>
                <w:tab w:val="left" w:pos="1260"/>
              </w:tabs>
              <w:snapToGrid w:val="0"/>
              <w:spacing w:after="0" w:line="240" w:lineRule="auto"/>
              <w:jc w:val="both"/>
              <w:rPr>
                <w:rFonts w:ascii="Times New Roman" w:hAnsi="Times New Roman" w:cs="Times New Roman"/>
                <w:color w:val="000000"/>
                <w:sz w:val="24"/>
                <w:szCs w:val="24"/>
              </w:rPr>
            </w:pPr>
          </w:p>
        </w:tc>
      </w:tr>
      <w:tr w:rsidR="009A6350" w:rsidRPr="004A333D" w:rsidTr="00B224AE">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9A6350" w:rsidRPr="004A333D" w:rsidTr="00615007">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Pr="004A333D">
              <w:rPr>
                <w:rFonts w:ascii="Times New Roman" w:hAnsi="Times New Roman" w:cs="Times New Roman"/>
                <w:sz w:val="24"/>
                <w:szCs w:val="24"/>
              </w:rPr>
              <w:t>.</w:t>
            </w:r>
          </w:p>
        </w:tc>
        <w:tc>
          <w:tcPr>
            <w:tcW w:w="9639" w:type="dxa"/>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9A6350" w:rsidRPr="004A333D" w:rsidTr="00615007">
        <w:trPr>
          <w:jc w:val="center"/>
        </w:trPr>
        <w:tc>
          <w:tcPr>
            <w:tcW w:w="567" w:type="dxa"/>
          </w:tcPr>
          <w:p w:rsidR="009A6350" w:rsidRPr="004A333D" w:rsidRDefault="009A6350"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vAlign w:val="center"/>
          </w:tcPr>
          <w:p w:rsidR="009A6350" w:rsidRPr="004A333D" w:rsidRDefault="009A6350" w:rsidP="0061500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Pr>
                <w:rFonts w:ascii="Times New Roman" w:hAnsi="Times New Roman" w:cs="Times New Roman"/>
                <w:color w:val="000000"/>
                <w:sz w:val="24"/>
                <w:szCs w:val="24"/>
              </w:rPr>
              <w:t>150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Pr>
                <w:rFonts w:ascii="Times New Roman" w:hAnsi="Times New Roman" w:cs="Times New Roman"/>
                <w:color w:val="000000"/>
                <w:sz w:val="24"/>
                <w:szCs w:val="24"/>
              </w:rPr>
              <w:t>40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AF6539" w:rsidRPr="00A82B7A" w:rsidRDefault="00AF6539" w:rsidP="00AF6539">
            <w:pPr>
              <w:rPr>
                <w:rFonts w:ascii="Times New Roman" w:hAnsi="Times New Roman" w:cs="Times New Roman"/>
                <w:sz w:val="24"/>
                <w:szCs w:val="24"/>
              </w:rPr>
            </w:pPr>
            <w:r w:rsidRPr="00A82B7A">
              <w:rPr>
                <w:rFonts w:ascii="Times New Roman" w:hAnsi="Times New Roman" w:cs="Times New Roman"/>
                <w:sz w:val="24"/>
                <w:szCs w:val="24"/>
              </w:rPr>
              <w:t>Щебень из природного камня для строительных работ марка: 800, фракция 20-40 мм</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AF6539" w:rsidP="00EC2BB9">
            <w:pPr>
              <w:pStyle w:val="ac"/>
              <w:jc w:val="center"/>
              <w:rPr>
                <w:rFonts w:ascii="Times New Roman" w:hAnsi="Times New Roman" w:cs="Times New Roman"/>
                <w:sz w:val="24"/>
                <w:szCs w:val="24"/>
              </w:rPr>
            </w:pPr>
            <w:r>
              <w:rPr>
                <w:rFonts w:ascii="Times New Roman" w:hAnsi="Times New Roman" w:cs="Times New Roman"/>
                <w:sz w:val="24"/>
                <w:szCs w:val="24"/>
              </w:rPr>
              <w:t>2</w:t>
            </w:r>
            <w:r w:rsidRPr="004042BB">
              <w:rPr>
                <w:rFonts w:ascii="Times New Roman" w:hAnsi="Times New Roman" w:cs="Times New Roman"/>
                <w:sz w:val="24"/>
                <w:szCs w:val="24"/>
              </w:rPr>
              <w:t xml:space="preserve"> </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Смеси готовые щебеночно-песчаные (ГОСТ25607-2009) номер С5 (природные),              </w:t>
            </w:r>
            <w:r>
              <w:rPr>
                <w:rFonts w:ascii="Times New Roman" w:hAnsi="Times New Roman" w:cs="Times New Roman"/>
                <w:sz w:val="24"/>
                <w:szCs w:val="24"/>
              </w:rPr>
              <w:t>типа «НОРИКА», размер зерен 0-40</w:t>
            </w:r>
            <w:r w:rsidRPr="004042BB">
              <w:rPr>
                <w:rFonts w:ascii="Times New Roman" w:hAnsi="Times New Roman" w:cs="Times New Roman"/>
                <w:sz w:val="24"/>
                <w:szCs w:val="24"/>
              </w:rPr>
              <w:t xml:space="preserve"> мм.</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9639" w:type="dxa"/>
            <w:tcBorders>
              <w:top w:val="single" w:sz="4" w:space="0" w:color="auto"/>
              <w:left w:val="single" w:sz="4" w:space="0" w:color="auto"/>
              <w:bottom w:val="single" w:sz="4" w:space="0" w:color="auto"/>
              <w:right w:val="single" w:sz="4" w:space="0" w:color="auto"/>
            </w:tcBorders>
          </w:tcPr>
          <w:p w:rsidR="00AF6539" w:rsidRDefault="00AF6539" w:rsidP="00AF6539">
            <w:pPr>
              <w:pStyle w:val="ac"/>
              <w:ind w:right="-103"/>
              <w:jc w:val="both"/>
              <w:rPr>
                <w:rFonts w:ascii="Times New Roman" w:hAnsi="Times New Roman" w:cs="Times New Roman"/>
                <w:sz w:val="24"/>
                <w:szCs w:val="24"/>
              </w:rPr>
            </w:pPr>
            <w:r>
              <w:rPr>
                <w:rFonts w:ascii="Times New Roman" w:hAnsi="Times New Roman" w:cs="Times New Roman"/>
                <w:sz w:val="24"/>
                <w:szCs w:val="24"/>
              </w:rPr>
              <w:t>Смесь щебеночно-песчаная готовая, щебень из гравия М 800, номер смеси С</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размер зерен 0-80 мм ГОСТ 25607-2009</w:t>
            </w:r>
          </w:p>
          <w:p w:rsidR="00AF6539" w:rsidRPr="00F93DA4" w:rsidRDefault="00AF6539" w:rsidP="00AF6539">
            <w:pPr>
              <w:pStyle w:val="ac"/>
              <w:ind w:right="-103"/>
              <w:jc w:val="both"/>
              <w:rPr>
                <w:rFonts w:ascii="Times New Roman" w:hAnsi="Times New Roman" w:cs="Times New Roman"/>
                <w:sz w:val="24"/>
                <w:szCs w:val="24"/>
              </w:rPr>
            </w:pP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AF6539" w:rsidRPr="00861642" w:rsidRDefault="00861642" w:rsidP="00AF6539">
            <w:pPr>
              <w:pStyle w:val="ac"/>
              <w:rPr>
                <w:rFonts w:ascii="Times New Roman" w:hAnsi="Times New Roman" w:cs="Times New Roman"/>
                <w:sz w:val="24"/>
                <w:szCs w:val="24"/>
              </w:rPr>
            </w:pPr>
            <w:r w:rsidRPr="00861642">
              <w:rPr>
                <w:rFonts w:ascii="Times New Roman" w:hAnsi="Times New Roman" w:cs="Times New Roman"/>
                <w:sz w:val="24"/>
                <w:szCs w:val="24"/>
              </w:rPr>
              <w:t>Кольцо опорное КО-6 /бетон В15 (М200), объем 0,02 м3, расход арматуры 1,10 кг / (серия 3.900.1-14)</w:t>
            </w:r>
          </w:p>
        </w:tc>
      </w:tr>
      <w:tr w:rsidR="00AF6539"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AF6539"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AF6539" w:rsidRPr="004042BB" w:rsidRDefault="00AF6539" w:rsidP="00AF6539">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AF6539">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F523F8">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AF6539" w:rsidRPr="004042BB" w:rsidRDefault="00AF6539" w:rsidP="00AF6539">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AF6539" w:rsidRPr="004042BB" w:rsidRDefault="00AF6539" w:rsidP="00AF6539">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F523F8">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AF6539" w:rsidRPr="004042BB" w:rsidRDefault="00AF6539" w:rsidP="00AF6539">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AF6539" w:rsidRPr="004042BB" w:rsidRDefault="00AF6539" w:rsidP="00AF6539">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Default="00861642" w:rsidP="00F523F8">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AF6539" w:rsidRPr="004042BB" w:rsidRDefault="00AF6539" w:rsidP="00AF653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AF6539" w:rsidRPr="004042BB" w:rsidRDefault="00AF6539" w:rsidP="007F7504">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М400 (Цвет: красный, </w:t>
            </w:r>
            <w:r>
              <w:rPr>
                <w:rFonts w:ascii="Times New Roman" w:hAnsi="Times New Roman" w:cs="Times New Roman"/>
                <w:sz w:val="24"/>
                <w:szCs w:val="24"/>
              </w:rPr>
              <w:t>серый</w:t>
            </w:r>
            <w:r w:rsidRPr="004042BB">
              <w:rPr>
                <w:rFonts w:ascii="Times New Roman" w:hAnsi="Times New Roman" w:cs="Times New Roman"/>
                <w:sz w:val="24"/>
                <w:szCs w:val="24"/>
              </w:rPr>
              <w:t xml:space="preserve">). </w:t>
            </w:r>
            <w:bookmarkStart w:id="0" w:name="_GoBack"/>
            <w:bookmarkEnd w:id="0"/>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AF6539" w:rsidRPr="004042BB" w:rsidTr="009A6350">
        <w:trPr>
          <w:trHeight w:val="416"/>
        </w:trPr>
        <w:tc>
          <w:tcPr>
            <w:tcW w:w="851" w:type="dxa"/>
            <w:tcBorders>
              <w:top w:val="single" w:sz="4" w:space="0" w:color="auto"/>
              <w:left w:val="single" w:sz="4" w:space="0" w:color="auto"/>
              <w:bottom w:val="single" w:sz="4" w:space="0" w:color="auto"/>
              <w:right w:val="single" w:sz="4" w:space="0" w:color="auto"/>
            </w:tcBorders>
          </w:tcPr>
          <w:p w:rsidR="00AF6539" w:rsidRPr="004042BB" w:rsidRDefault="00861642" w:rsidP="00EE0D90">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AF6539" w:rsidRPr="004042BB" w:rsidRDefault="00AF6539"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AF6539" w:rsidRPr="004042BB" w:rsidRDefault="00AF6539" w:rsidP="009A635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ипа Кирпич)  М 400 (Цвет:</w:t>
            </w:r>
            <w:r w:rsidR="00861642">
              <w:rPr>
                <w:rFonts w:ascii="Times New Roman" w:hAnsi="Times New Roman" w:cs="Times New Roman"/>
                <w:sz w:val="24"/>
                <w:szCs w:val="24"/>
              </w:rPr>
              <w:t xml:space="preserve"> </w:t>
            </w:r>
            <w:r>
              <w:rPr>
                <w:rFonts w:ascii="Times New Roman" w:hAnsi="Times New Roman" w:cs="Times New Roman"/>
                <w:sz w:val="24"/>
                <w:szCs w:val="24"/>
              </w:rPr>
              <w:t xml:space="preserve">красный, </w:t>
            </w:r>
            <w:r w:rsidRPr="004042BB">
              <w:rPr>
                <w:rFonts w:ascii="Times New Roman" w:hAnsi="Times New Roman" w:cs="Times New Roman"/>
                <w:sz w:val="24"/>
                <w:szCs w:val="24"/>
              </w:rPr>
              <w:t>серый)</w:t>
            </w:r>
            <w:r w:rsidR="007F7504" w:rsidRPr="004042BB">
              <w:rPr>
                <w:rFonts w:ascii="Times New Roman" w:hAnsi="Times New Roman" w:cs="Times New Roman"/>
                <w:sz w:val="24"/>
                <w:szCs w:val="24"/>
              </w:rPr>
              <w:t xml:space="preserve"> </w:t>
            </w:r>
            <w:r w:rsidR="007F7504"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AF6539" w:rsidRPr="004042BB" w:rsidTr="0069591A">
        <w:tc>
          <w:tcPr>
            <w:tcW w:w="851" w:type="dxa"/>
            <w:tcBorders>
              <w:top w:val="single" w:sz="4" w:space="0" w:color="auto"/>
              <w:left w:val="single" w:sz="4" w:space="0" w:color="auto"/>
              <w:bottom w:val="single" w:sz="4" w:space="0" w:color="auto"/>
              <w:right w:val="single" w:sz="4" w:space="0" w:color="auto"/>
            </w:tcBorders>
          </w:tcPr>
          <w:p w:rsidR="00AF6539" w:rsidRDefault="00AF6539" w:rsidP="00F93DA4">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AF6539" w:rsidRPr="004042BB" w:rsidRDefault="00AF6539" w:rsidP="00615007">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w:t>
      </w:r>
      <w:r w:rsidRPr="004042BB">
        <w:rPr>
          <w:rFonts w:ascii="Times New Roman" w:hAnsi="Times New Roman" w:cs="Times New Roman"/>
          <w:sz w:val="24"/>
          <w:szCs w:val="24"/>
        </w:rPr>
        <w:lastRenderedPageBreak/>
        <w:t>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7C7984">
        <w:rPr>
          <w:rFonts w:ascii="Times New Roman" w:hAnsi="Times New Roman" w:cs="Times New Roman"/>
          <w:sz w:val="24"/>
          <w:szCs w:val="24"/>
        </w:rPr>
        <w:t>П.И. Ломоченков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15007"/>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C7984"/>
    <w:rsid w:val="007D0A7F"/>
    <w:rsid w:val="007D42C4"/>
    <w:rsid w:val="007D6D8B"/>
    <w:rsid w:val="007E2CA1"/>
    <w:rsid w:val="007E35DE"/>
    <w:rsid w:val="007E36EC"/>
    <w:rsid w:val="007E42CB"/>
    <w:rsid w:val="007F3F5D"/>
    <w:rsid w:val="007F7504"/>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1642"/>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08BA"/>
    <w:rsid w:val="009811E7"/>
    <w:rsid w:val="009940B1"/>
    <w:rsid w:val="009A5D84"/>
    <w:rsid w:val="009A6350"/>
    <w:rsid w:val="009B17D7"/>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2B7A"/>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AF6539"/>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30805904">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765A-39D8-4DAE-B1A6-20E46225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2020</Words>
  <Characters>14191</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3</cp:revision>
  <cp:lastPrinted>2019-11-13T14:04:00Z</cp:lastPrinted>
  <dcterms:created xsi:type="dcterms:W3CDTF">2019-11-12T14:32:00Z</dcterms:created>
  <dcterms:modified xsi:type="dcterms:W3CDTF">2019-11-13T14:05:00Z</dcterms:modified>
</cp:coreProperties>
</file>