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w:t>
            </w:r>
            <w:r w:rsidR="00E17B08">
              <w:rPr>
                <w:sz w:val="24"/>
                <w:szCs w:val="24"/>
              </w:rPr>
              <w:t xml:space="preserve"> -</w:t>
            </w:r>
            <w:r>
              <w:rPr>
                <w:sz w:val="24"/>
                <w:szCs w:val="24"/>
              </w:rPr>
              <w:t xml:space="preserve">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фасада без утепления</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5C3F84">
        <w:t>фасада без утепления</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w:t>
      </w:r>
      <w:r w:rsidR="00E17B08">
        <w:rPr>
          <w:sz w:val="24"/>
          <w:szCs w:val="24"/>
        </w:rPr>
        <w:t xml:space="preserve"> -</w:t>
      </w:r>
      <w:r w:rsidR="00863BBF">
        <w:rPr>
          <w:sz w:val="24"/>
          <w:szCs w:val="24"/>
        </w:rPr>
        <w:t xml:space="preserve">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B2D32" w:rsidRDefault="00124AB1" w:rsidP="00124AB1">
      <w:pPr>
        <w:jc w:val="both"/>
        <w:rPr>
          <w:b/>
          <w:color w:val="000000"/>
          <w:sz w:val="24"/>
          <w:szCs w:val="24"/>
        </w:rPr>
      </w:pPr>
      <w:r w:rsidRPr="009F7928">
        <w:rPr>
          <w:color w:val="000000"/>
          <w:sz w:val="24"/>
          <w:szCs w:val="24"/>
        </w:rPr>
        <w:t xml:space="preserve">1.4. </w:t>
      </w:r>
      <w:r w:rsidR="001B2D32">
        <w:rPr>
          <w:color w:val="000000"/>
          <w:sz w:val="24"/>
          <w:szCs w:val="24"/>
        </w:rPr>
        <w:t>Стоимость выполнения работ по смете</w:t>
      </w:r>
      <w:r w:rsidR="00ED7A7B">
        <w:rPr>
          <w:color w:val="000000"/>
          <w:sz w:val="24"/>
          <w:szCs w:val="24"/>
        </w:rPr>
        <w:t xml:space="preserve">: </w:t>
      </w:r>
      <w:r w:rsidR="00ED7A7B" w:rsidRPr="003F1A21">
        <w:rPr>
          <w:b/>
          <w:color w:val="000000"/>
          <w:sz w:val="24"/>
          <w:szCs w:val="24"/>
        </w:rPr>
        <w:t>2 608 572 (два миллиона шестьсот восемь тысяч</w:t>
      </w:r>
      <w:r w:rsidR="004D1BC1" w:rsidRPr="003F1A21">
        <w:rPr>
          <w:b/>
          <w:color w:val="000000"/>
          <w:sz w:val="24"/>
          <w:szCs w:val="24"/>
        </w:rPr>
        <w:t xml:space="preserve"> пятьсот семьдесят два) рубля, в том числе НДС 18%</w:t>
      </w:r>
      <w:r w:rsidR="007B6E44" w:rsidRPr="003F1A21">
        <w:rPr>
          <w:b/>
          <w:color w:val="000000"/>
          <w:sz w:val="24"/>
          <w:szCs w:val="24"/>
        </w:rPr>
        <w:t>: 397 917 (триста девяносто семь тысяч девятьсот семнадцать) рублей</w:t>
      </w:r>
      <w:r w:rsidR="003F1A21" w:rsidRPr="003F1A21">
        <w:rPr>
          <w:b/>
          <w:color w:val="000000"/>
          <w:sz w:val="24"/>
          <w:szCs w:val="24"/>
        </w:rPr>
        <w:t xml:space="preserve"> 76 копеек.</w:t>
      </w:r>
    </w:p>
    <w:p w:rsidR="003F1A21" w:rsidRDefault="003F1A21" w:rsidP="00124AB1">
      <w:pPr>
        <w:jc w:val="both"/>
        <w:rPr>
          <w:color w:val="000000"/>
          <w:sz w:val="24"/>
          <w:szCs w:val="24"/>
        </w:rPr>
      </w:pPr>
      <w:r>
        <w:rPr>
          <w:b/>
          <w:color w:val="000000"/>
          <w:sz w:val="24"/>
          <w:szCs w:val="24"/>
        </w:rPr>
        <w:t>ОСОБЫЕ УСЛОВИЯ</w:t>
      </w:r>
      <w:r w:rsidR="00D26168">
        <w:rPr>
          <w:b/>
          <w:color w:val="000000"/>
          <w:sz w:val="24"/>
          <w:szCs w:val="24"/>
        </w:rPr>
        <w:t>!</w:t>
      </w:r>
    </w:p>
    <w:p w:rsidR="00124AB1" w:rsidRDefault="00124AB1" w:rsidP="00124AB1">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37113B">
        <w:rPr>
          <w:b/>
          <w:sz w:val="24"/>
          <w:szCs w:val="24"/>
        </w:rPr>
        <w:t>2</w:t>
      </w:r>
      <w:r w:rsidRPr="00AE53A8">
        <w:rPr>
          <w:b/>
          <w:sz w:val="24"/>
          <w:szCs w:val="24"/>
        </w:rPr>
        <w:t> </w:t>
      </w:r>
      <w:r w:rsidR="0037113B">
        <w:rPr>
          <w:b/>
          <w:sz w:val="24"/>
          <w:szCs w:val="24"/>
        </w:rPr>
        <w:t>598</w:t>
      </w:r>
      <w:r w:rsidRPr="00AE53A8">
        <w:rPr>
          <w:b/>
          <w:sz w:val="24"/>
          <w:szCs w:val="24"/>
        </w:rPr>
        <w:t xml:space="preserve"> </w:t>
      </w:r>
      <w:r w:rsidR="0037113B">
        <w:rPr>
          <w:b/>
          <w:sz w:val="24"/>
          <w:szCs w:val="24"/>
        </w:rPr>
        <w:t>255</w:t>
      </w:r>
      <w:r w:rsidRPr="00AE53A8">
        <w:rPr>
          <w:sz w:val="24"/>
          <w:szCs w:val="24"/>
        </w:rPr>
        <w:t xml:space="preserve"> </w:t>
      </w:r>
      <w:r w:rsidRPr="00AE53A8">
        <w:rPr>
          <w:b/>
          <w:sz w:val="24"/>
          <w:szCs w:val="24"/>
        </w:rPr>
        <w:t>(</w:t>
      </w:r>
      <w:r w:rsidR="00DC47C0">
        <w:rPr>
          <w:b/>
          <w:sz w:val="24"/>
          <w:szCs w:val="24"/>
        </w:rPr>
        <w:t>два</w:t>
      </w:r>
      <w:r w:rsidRPr="00AE53A8">
        <w:rPr>
          <w:b/>
          <w:sz w:val="24"/>
          <w:szCs w:val="24"/>
        </w:rPr>
        <w:t xml:space="preserve"> миллиона </w:t>
      </w:r>
      <w:r w:rsidR="00DC47C0">
        <w:rPr>
          <w:b/>
          <w:sz w:val="24"/>
          <w:szCs w:val="24"/>
        </w:rPr>
        <w:t>пятьсот девяносто восемь</w:t>
      </w:r>
      <w:r w:rsidRPr="00AE53A8">
        <w:rPr>
          <w:b/>
          <w:sz w:val="24"/>
          <w:szCs w:val="24"/>
        </w:rPr>
        <w:t xml:space="preserve"> тысяч </w:t>
      </w:r>
      <w:r w:rsidR="00157DD8">
        <w:rPr>
          <w:b/>
          <w:sz w:val="24"/>
          <w:szCs w:val="24"/>
        </w:rPr>
        <w:t>двести пятьдесят пять</w:t>
      </w:r>
      <w:r w:rsidRPr="00AE53A8">
        <w:rPr>
          <w:b/>
          <w:sz w:val="24"/>
          <w:szCs w:val="24"/>
        </w:rPr>
        <w:t>) рубл</w:t>
      </w:r>
      <w:r w:rsidR="00157DD8">
        <w:rPr>
          <w:b/>
          <w:sz w:val="24"/>
          <w:szCs w:val="24"/>
        </w:rPr>
        <w:t>ей</w:t>
      </w:r>
      <w:r w:rsidRPr="00AE53A8">
        <w:rPr>
          <w:b/>
          <w:sz w:val="24"/>
          <w:szCs w:val="24"/>
        </w:rPr>
        <w:t>,</w:t>
      </w:r>
      <w:r w:rsidRPr="00AE53A8">
        <w:rPr>
          <w:sz w:val="24"/>
          <w:szCs w:val="24"/>
        </w:rPr>
        <w:t xml:space="preserve"> в том числе НДС: </w:t>
      </w:r>
      <w:r w:rsidR="0037113B">
        <w:rPr>
          <w:b/>
          <w:sz w:val="24"/>
          <w:szCs w:val="24"/>
        </w:rPr>
        <w:t>396</w:t>
      </w:r>
      <w:r w:rsidRPr="00AE53A8">
        <w:rPr>
          <w:b/>
          <w:sz w:val="24"/>
          <w:szCs w:val="24"/>
        </w:rPr>
        <w:t xml:space="preserve"> </w:t>
      </w:r>
      <w:r w:rsidR="0037113B">
        <w:rPr>
          <w:b/>
          <w:sz w:val="24"/>
          <w:szCs w:val="24"/>
        </w:rPr>
        <w:t>343</w:t>
      </w:r>
      <w:r w:rsidRPr="00AE53A8">
        <w:rPr>
          <w:b/>
          <w:sz w:val="24"/>
          <w:szCs w:val="24"/>
        </w:rPr>
        <w:t xml:space="preserve"> (</w:t>
      </w:r>
      <w:r w:rsidR="002368F4">
        <w:rPr>
          <w:b/>
          <w:sz w:val="24"/>
          <w:szCs w:val="24"/>
        </w:rPr>
        <w:t>триста девяносто шесть</w:t>
      </w:r>
      <w:r w:rsidRPr="00AE53A8">
        <w:rPr>
          <w:b/>
          <w:sz w:val="24"/>
          <w:szCs w:val="24"/>
        </w:rPr>
        <w:t xml:space="preserve"> тысяч </w:t>
      </w:r>
      <w:r w:rsidR="002368F4">
        <w:rPr>
          <w:b/>
          <w:sz w:val="24"/>
          <w:szCs w:val="24"/>
        </w:rPr>
        <w:t>триста сорок три</w:t>
      </w:r>
      <w:r w:rsidRPr="00AE53A8">
        <w:rPr>
          <w:b/>
          <w:sz w:val="24"/>
          <w:szCs w:val="24"/>
        </w:rPr>
        <w:t>) рубл</w:t>
      </w:r>
      <w:r w:rsidR="002368F4">
        <w:rPr>
          <w:b/>
          <w:sz w:val="24"/>
          <w:szCs w:val="24"/>
        </w:rPr>
        <w:t>я</w:t>
      </w:r>
      <w:r w:rsidR="0037113B">
        <w:rPr>
          <w:b/>
          <w:sz w:val="24"/>
          <w:szCs w:val="24"/>
        </w:rPr>
        <w:t xml:space="preserve"> </w:t>
      </w:r>
      <w:r w:rsidR="00450FEC">
        <w:rPr>
          <w:b/>
          <w:sz w:val="24"/>
          <w:szCs w:val="24"/>
        </w:rPr>
        <w:t>98 копеек</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450FEC">
        <w:rPr>
          <w:color w:val="000000"/>
          <w:sz w:val="24"/>
          <w:szCs w:val="24"/>
        </w:rPr>
        <w:t>75</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450FEC">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4152B0">
        <w:rPr>
          <w:rFonts w:eastAsia="Calibri"/>
          <w:sz w:val="24"/>
          <w:szCs w:val="24"/>
          <w:lang w:eastAsia="en-US"/>
        </w:rPr>
        <w:t>16</w:t>
      </w:r>
      <w:r>
        <w:rPr>
          <w:rFonts w:eastAsia="Calibri"/>
          <w:sz w:val="24"/>
          <w:szCs w:val="24"/>
          <w:lang w:eastAsia="en-US"/>
        </w:rPr>
        <w:t xml:space="preserve">" </w:t>
      </w:r>
      <w:r w:rsidR="004152B0">
        <w:rPr>
          <w:rFonts w:eastAsia="Calibri"/>
          <w:sz w:val="24"/>
          <w:szCs w:val="24"/>
          <w:lang w:eastAsia="en-US"/>
        </w:rPr>
        <w:t>июня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AF253D">
        <w:rPr>
          <w:rFonts w:eastAsia="Calibri"/>
          <w:sz w:val="24"/>
          <w:szCs w:val="24"/>
          <w:lang w:eastAsia="en-US"/>
        </w:rPr>
        <w:t>77 947</w:t>
      </w:r>
      <w:r>
        <w:rPr>
          <w:rFonts w:eastAsia="Calibri"/>
          <w:sz w:val="24"/>
          <w:szCs w:val="24"/>
          <w:lang w:eastAsia="en-US"/>
        </w:rPr>
        <w:t xml:space="preserve"> (</w:t>
      </w:r>
      <w:r w:rsidR="00AF253D">
        <w:rPr>
          <w:rFonts w:eastAsia="Calibri"/>
          <w:sz w:val="24"/>
          <w:szCs w:val="24"/>
          <w:lang w:eastAsia="en-US"/>
        </w:rPr>
        <w:t>семьдесят семь</w:t>
      </w:r>
      <w:r w:rsidR="00F15ADF">
        <w:rPr>
          <w:rFonts w:eastAsia="Calibri"/>
          <w:sz w:val="24"/>
          <w:szCs w:val="24"/>
          <w:lang w:eastAsia="en-US"/>
        </w:rPr>
        <w:t xml:space="preserve"> тысяч </w:t>
      </w:r>
      <w:r w:rsidR="00AF253D">
        <w:rPr>
          <w:rFonts w:eastAsia="Calibri"/>
          <w:sz w:val="24"/>
          <w:szCs w:val="24"/>
          <w:lang w:eastAsia="en-US"/>
        </w:rPr>
        <w:t>девятьсот сорок семь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AF253D">
        <w:rPr>
          <w:rFonts w:eastAsia="Calibri"/>
          <w:sz w:val="24"/>
          <w:szCs w:val="24"/>
          <w:lang w:eastAsia="en-US"/>
        </w:rPr>
        <w:t>65</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w:t>
      </w:r>
      <w:r w:rsidR="00385F52">
        <w:rPr>
          <w:rFonts w:eastAsia="Calibri"/>
          <w:sz w:val="24"/>
          <w:szCs w:val="24"/>
          <w:lang w:eastAsia="en-US"/>
        </w:rPr>
        <w:t>3</w:t>
      </w:r>
      <w:r>
        <w:rPr>
          <w:rFonts w:eastAsia="Calibri"/>
          <w:sz w:val="24"/>
          <w:szCs w:val="24"/>
          <w:lang w:eastAsia="en-US"/>
        </w:rPr>
        <w:t>0</w:t>
      </w:r>
      <w:r w:rsidR="00385F52">
        <w:rPr>
          <w:rFonts w:eastAsia="Calibri"/>
          <w:sz w:val="24"/>
          <w:szCs w:val="24"/>
          <w:lang w:eastAsia="en-US"/>
        </w:rPr>
        <w:t>2</w:t>
      </w:r>
      <w:r>
        <w:rPr>
          <w:rFonts w:eastAsia="Calibri"/>
          <w:sz w:val="24"/>
          <w:szCs w:val="24"/>
          <w:lang w:eastAsia="en-US"/>
        </w:rPr>
        <w:t>810</w:t>
      </w:r>
      <w:r w:rsidR="00385F52">
        <w:rPr>
          <w:rFonts w:eastAsia="Calibri"/>
          <w:sz w:val="24"/>
          <w:szCs w:val="24"/>
          <w:lang w:eastAsia="en-US"/>
        </w:rPr>
        <w:t>127483</w:t>
      </w:r>
      <w:r>
        <w:rPr>
          <w:rFonts w:eastAsia="Calibri"/>
          <w:sz w:val="24"/>
          <w:szCs w:val="24"/>
          <w:lang w:eastAsia="en-US"/>
        </w:rPr>
        <w:t>0000</w:t>
      </w:r>
      <w:r w:rsidR="00062CC8">
        <w:rPr>
          <w:rFonts w:eastAsia="Calibri"/>
          <w:sz w:val="24"/>
          <w:szCs w:val="24"/>
          <w:lang w:eastAsia="en-US"/>
        </w:rPr>
        <w:t>94</w:t>
      </w:r>
      <w:r>
        <w:rPr>
          <w:rFonts w:eastAsia="Calibri"/>
          <w:sz w:val="24"/>
          <w:szCs w:val="24"/>
          <w:lang w:eastAsia="en-US"/>
        </w:rPr>
        <w:t xml:space="preserve">, БИК 042748001 Отделение Калининград г. Калининград. </w:t>
      </w:r>
      <w:bookmarkStart w:id="0" w:name="_GoBack"/>
      <w:bookmarkEnd w:id="0"/>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 xml:space="preserve">соответствующих требованиям статьи </w:t>
      </w:r>
      <w:r>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4152B0" w:rsidRPr="000F719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004152B0" w:rsidRPr="000F719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4152B0" w:rsidRPr="000F7198">
        <w:rPr>
          <w:sz w:val="24"/>
          <w:szCs w:val="24"/>
        </w:rPr>
        <w:t xml:space="preserve"> банка</w:t>
      </w:r>
      <w:proofErr w:type="gramStart"/>
      <w:r w:rsidR="004152B0" w:rsidRPr="000F7198">
        <w:rPr>
          <w:sz w:val="24"/>
          <w:szCs w:val="24"/>
        </w:rPr>
        <w:t xml:space="preserve"> (-</w:t>
      </w:r>
      <w:proofErr w:type="spellStart"/>
      <w:proofErr w:type="gramEnd"/>
      <w:r w:rsidR="004152B0" w:rsidRPr="000F7198">
        <w:rPr>
          <w:sz w:val="24"/>
          <w:szCs w:val="24"/>
        </w:rPr>
        <w:t>ов</w:t>
      </w:r>
      <w:proofErr w:type="spellEnd"/>
      <w:r w:rsidR="004152B0" w:rsidRPr="000F7198">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3.6. Претендент вправе подать только одну заявку на участие в открытом конкурсе в </w:t>
      </w:r>
      <w:r>
        <w:rPr>
          <w:rFonts w:eastAsia="Calibri"/>
          <w:sz w:val="24"/>
          <w:szCs w:val="24"/>
          <w:lang w:eastAsia="en-US"/>
        </w:rPr>
        <w:lastRenderedPageBreak/>
        <w:t>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участнику открытого конкурса, заявке на участие, которого присвоен второй номер, </w:t>
      </w:r>
      <w:r>
        <w:rPr>
          <w:rFonts w:eastAsia="Calibri"/>
          <w:kern w:val="3"/>
          <w:sz w:val="24"/>
          <w:szCs w:val="24"/>
          <w:lang w:eastAsia="en-US"/>
        </w:rPr>
        <w:lastRenderedPageBreak/>
        <w:t>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w:t>
      </w:r>
      <w:r>
        <w:rPr>
          <w:rFonts w:eastAsia="Calibri"/>
          <w:sz w:val="24"/>
          <w:szCs w:val="24"/>
          <w:lang w:eastAsia="en-US"/>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w:t>
            </w:r>
            <w:r>
              <w:rPr>
                <w:rFonts w:eastAsia="Calibri"/>
                <w:sz w:val="24"/>
                <w:szCs w:val="24"/>
                <w:lang w:eastAsia="en-US"/>
              </w:rPr>
              <w:lastRenderedPageBreak/>
              <w:t>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 xml:space="preserve">2 и более с опытом работы более 10 лет и стажем работы </w:t>
            </w:r>
            <w:r>
              <w:rPr>
                <w:rFonts w:eastAsia="Calibri"/>
                <w:sz w:val="24"/>
                <w:szCs w:val="24"/>
                <w:lang w:eastAsia="en-US"/>
              </w:rPr>
              <w:lastRenderedPageBreak/>
              <w:t>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lastRenderedPageBreak/>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6.1.4. Разместить за свой счет на строительных лесах и (или) ограждениях информацию с указанием: видов и сроков выполнения работ, наименований Заказчика и </w:t>
      </w:r>
      <w:r>
        <w:rPr>
          <w:rFonts w:eastAsia="Calibri"/>
          <w:sz w:val="24"/>
          <w:szCs w:val="24"/>
          <w:lang w:eastAsia="en-US"/>
        </w:rPr>
        <w:lastRenderedPageBreak/>
        <w:t>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w:t>
      </w:r>
      <w:r>
        <w:rPr>
          <w:rFonts w:eastAsia="Calibri"/>
          <w:sz w:val="24"/>
          <w:szCs w:val="24"/>
          <w:lang w:eastAsia="en-US"/>
        </w:rPr>
        <w:lastRenderedPageBreak/>
        <w:t xml:space="preserve">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w:t>
      </w:r>
      <w:r>
        <w:rPr>
          <w:rFonts w:eastAsia="Calibri"/>
          <w:sz w:val="24"/>
          <w:szCs w:val="24"/>
          <w:lang w:eastAsia="en-US"/>
        </w:rPr>
        <w:lastRenderedPageBreak/>
        <w:t>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w:t>
      </w:r>
      <w:r>
        <w:rPr>
          <w:rFonts w:eastAsia="Calibri"/>
          <w:sz w:val="24"/>
          <w:szCs w:val="24"/>
          <w:lang w:eastAsia="en-US"/>
        </w:rPr>
        <w:lastRenderedPageBreak/>
        <w:t xml:space="preserve">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w:t>
      </w:r>
      <w:r>
        <w:rPr>
          <w:rFonts w:eastAsia="Calibri"/>
          <w:sz w:val="24"/>
          <w:szCs w:val="24"/>
          <w:lang w:eastAsia="en-US"/>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w:t>
      </w:r>
      <w:r>
        <w:rPr>
          <w:rFonts w:eastAsia="Calibri"/>
          <w:sz w:val="24"/>
          <w:szCs w:val="24"/>
          <w:lang w:eastAsia="en-US"/>
        </w:rPr>
        <w:lastRenderedPageBreak/>
        <w:t xml:space="preserve">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62CC8"/>
    <w:rsid w:val="000D18EB"/>
    <w:rsid w:val="000E3767"/>
    <w:rsid w:val="00124AB1"/>
    <w:rsid w:val="00157DD8"/>
    <w:rsid w:val="001627E4"/>
    <w:rsid w:val="001A6487"/>
    <w:rsid w:val="001B2D32"/>
    <w:rsid w:val="001F152C"/>
    <w:rsid w:val="002368F4"/>
    <w:rsid w:val="00302A6F"/>
    <w:rsid w:val="0037113B"/>
    <w:rsid w:val="00385F52"/>
    <w:rsid w:val="003A5627"/>
    <w:rsid w:val="003D05D0"/>
    <w:rsid w:val="003D7B33"/>
    <w:rsid w:val="003F1A21"/>
    <w:rsid w:val="004152B0"/>
    <w:rsid w:val="00450FEC"/>
    <w:rsid w:val="00492103"/>
    <w:rsid w:val="0049705A"/>
    <w:rsid w:val="004A787F"/>
    <w:rsid w:val="004D1BC1"/>
    <w:rsid w:val="004E148E"/>
    <w:rsid w:val="00506B5D"/>
    <w:rsid w:val="00513DCE"/>
    <w:rsid w:val="00523226"/>
    <w:rsid w:val="005A5A3B"/>
    <w:rsid w:val="005C3F84"/>
    <w:rsid w:val="00602AFA"/>
    <w:rsid w:val="00605496"/>
    <w:rsid w:val="00630E59"/>
    <w:rsid w:val="00632B28"/>
    <w:rsid w:val="00686658"/>
    <w:rsid w:val="00740F05"/>
    <w:rsid w:val="007B236B"/>
    <w:rsid w:val="007B6E44"/>
    <w:rsid w:val="0085667C"/>
    <w:rsid w:val="00863BBF"/>
    <w:rsid w:val="00883E11"/>
    <w:rsid w:val="00894D36"/>
    <w:rsid w:val="008A092E"/>
    <w:rsid w:val="00917D56"/>
    <w:rsid w:val="00927826"/>
    <w:rsid w:val="00940C4E"/>
    <w:rsid w:val="009C3A70"/>
    <w:rsid w:val="009E09AB"/>
    <w:rsid w:val="009E1B05"/>
    <w:rsid w:val="00AC489D"/>
    <w:rsid w:val="00AF253D"/>
    <w:rsid w:val="00B44FF0"/>
    <w:rsid w:val="00B652FF"/>
    <w:rsid w:val="00C57854"/>
    <w:rsid w:val="00D14DD1"/>
    <w:rsid w:val="00D26168"/>
    <w:rsid w:val="00DB07E1"/>
    <w:rsid w:val="00DC47C0"/>
    <w:rsid w:val="00DD67E1"/>
    <w:rsid w:val="00DD7BB0"/>
    <w:rsid w:val="00E17B08"/>
    <w:rsid w:val="00E201A7"/>
    <w:rsid w:val="00E27CCB"/>
    <w:rsid w:val="00EC5BFC"/>
    <w:rsid w:val="00EC7827"/>
    <w:rsid w:val="00EC7F5D"/>
    <w:rsid w:val="00ED7A7B"/>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10222</Words>
  <Characters>58269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2017-05-31T07:45:00Z</cp:lastPrinted>
  <dcterms:created xsi:type="dcterms:W3CDTF">2017-03-13T07:58:00Z</dcterms:created>
  <dcterms:modified xsi:type="dcterms:W3CDTF">2017-05-31T08:01:00Z</dcterms:modified>
</cp:coreProperties>
</file>