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1C" w:rsidRDefault="00877A1C" w:rsidP="00BE59B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497A59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44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регулирующего воздействия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</w:p>
    <w:p w:rsidR="00BE59B8" w:rsidRPr="00B318DE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A972E7" w:rsidRDefault="00A972E7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2E7" w:rsidRDefault="00A972E7" w:rsidP="00A972E7">
      <w:pPr>
        <w:pStyle w:val="ConsPlusNonformat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72E7">
        <w:rPr>
          <w:rFonts w:ascii="Times New Roman" w:hAnsi="Times New Roman" w:cs="Times New Roman"/>
          <w:sz w:val="28"/>
          <w:szCs w:val="28"/>
        </w:rPr>
        <w:t xml:space="preserve">Решение городского Совета депутатов Калининграда «Об утверждении Порядка </w:t>
      </w:r>
      <w:r w:rsidR="00AE62E8">
        <w:rPr>
          <w:rFonts w:ascii="Times New Roman" w:hAnsi="Times New Roman" w:cs="Times New Roman"/>
          <w:sz w:val="28"/>
          <w:szCs w:val="28"/>
        </w:rPr>
        <w:t xml:space="preserve">размещения объектов на опорах наружного освещения, </w:t>
      </w:r>
      <w:r w:rsidR="00FB206D">
        <w:rPr>
          <w:rFonts w:ascii="Times New Roman" w:hAnsi="Times New Roman" w:cs="Times New Roman"/>
          <w:sz w:val="28"/>
          <w:szCs w:val="28"/>
        </w:rPr>
        <w:t>элементах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(опорах)</w:t>
      </w:r>
      <w:r w:rsidR="00FB206D">
        <w:rPr>
          <w:rFonts w:ascii="Times New Roman" w:hAnsi="Times New Roman" w:cs="Times New Roman"/>
          <w:sz w:val="28"/>
          <w:szCs w:val="28"/>
        </w:rPr>
        <w:t xml:space="preserve">, </w:t>
      </w:r>
      <w:r w:rsidR="00AE62E8">
        <w:rPr>
          <w:rFonts w:ascii="Times New Roman" w:hAnsi="Times New Roman" w:cs="Times New Roman"/>
          <w:sz w:val="28"/>
          <w:szCs w:val="28"/>
        </w:rPr>
        <w:t>находящихся в собственности городского округа «Город Калининград», без проведения торгов</w:t>
      </w:r>
      <w:r w:rsidRPr="00A972E7">
        <w:rPr>
          <w:rFonts w:ascii="Times New Roman" w:hAnsi="Times New Roman" w:cs="Times New Roman"/>
          <w:sz w:val="28"/>
          <w:szCs w:val="28"/>
        </w:rPr>
        <w:t>»</w:t>
      </w:r>
    </w:p>
    <w:p w:rsidR="00BE59B8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(наименование проекта муниципального нормативного правового акта </w:t>
      </w:r>
    </w:p>
    <w:p w:rsidR="00BE59B8" w:rsidRPr="00252D09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городского округа «Город Калининград»</w:t>
      </w:r>
      <w:r>
        <w:rPr>
          <w:rFonts w:ascii="Times New Roman" w:hAnsi="Times New Roman" w:cs="Times New Roman"/>
          <w:i/>
          <w:iCs/>
        </w:rPr>
        <w:t>)</w:t>
      </w: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41EE7">
        <w:rPr>
          <w:rFonts w:ascii="Times New Roman" w:hAnsi="Times New Roman" w:cs="Times New Roman"/>
          <w:sz w:val="28"/>
          <w:szCs w:val="28"/>
        </w:rPr>
        <w:t>«</w:t>
      </w:r>
      <w:r w:rsidR="006933C5">
        <w:rPr>
          <w:rFonts w:ascii="Times New Roman" w:hAnsi="Times New Roman" w:cs="Times New Roman"/>
          <w:sz w:val="28"/>
          <w:szCs w:val="28"/>
        </w:rPr>
        <w:t>20</w:t>
      </w:r>
      <w:r w:rsidRPr="00041EE7">
        <w:rPr>
          <w:rFonts w:ascii="Times New Roman" w:hAnsi="Times New Roman" w:cs="Times New Roman"/>
          <w:sz w:val="28"/>
          <w:szCs w:val="28"/>
        </w:rPr>
        <w:t>»</w:t>
      </w:r>
      <w:r w:rsidR="00D74491">
        <w:rPr>
          <w:rFonts w:ascii="Times New Roman" w:hAnsi="Times New Roman" w:cs="Times New Roman"/>
          <w:sz w:val="28"/>
          <w:szCs w:val="28"/>
        </w:rPr>
        <w:t xml:space="preserve"> </w:t>
      </w:r>
      <w:r w:rsidR="00D96081">
        <w:rPr>
          <w:rFonts w:ascii="Times New Roman" w:hAnsi="Times New Roman" w:cs="Times New Roman"/>
          <w:sz w:val="28"/>
          <w:szCs w:val="28"/>
        </w:rPr>
        <w:t>ноября</w:t>
      </w:r>
      <w:r w:rsidR="00D74491">
        <w:rPr>
          <w:rFonts w:ascii="Times New Roman" w:hAnsi="Times New Roman" w:cs="Times New Roman"/>
          <w:sz w:val="28"/>
          <w:szCs w:val="28"/>
        </w:rPr>
        <w:t xml:space="preserve"> </w:t>
      </w:r>
      <w:r w:rsidRPr="00041EE7">
        <w:rPr>
          <w:rFonts w:ascii="Times New Roman" w:hAnsi="Times New Roman" w:cs="Times New Roman"/>
          <w:sz w:val="28"/>
          <w:szCs w:val="28"/>
        </w:rPr>
        <w:t xml:space="preserve"> 20</w:t>
      </w:r>
      <w:r w:rsidR="00A972E7">
        <w:rPr>
          <w:rFonts w:ascii="Times New Roman" w:hAnsi="Times New Roman" w:cs="Times New Roman"/>
          <w:sz w:val="28"/>
          <w:szCs w:val="28"/>
        </w:rPr>
        <w:t>1</w:t>
      </w:r>
      <w:r w:rsidR="00C2560B">
        <w:rPr>
          <w:rFonts w:ascii="Times New Roman" w:hAnsi="Times New Roman" w:cs="Times New Roman"/>
          <w:sz w:val="28"/>
          <w:szCs w:val="28"/>
        </w:rPr>
        <w:t>8</w:t>
      </w:r>
      <w:r w:rsidRPr="00041E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Default="00AE62E8" w:rsidP="00AE62E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988">
        <w:rPr>
          <w:rFonts w:ascii="Times New Roman" w:hAnsi="Times New Roman" w:cs="Times New Roman"/>
          <w:sz w:val="28"/>
          <w:szCs w:val="28"/>
        </w:rPr>
        <w:t>Период</w:t>
      </w:r>
      <w:r w:rsidR="00BE59B8"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консультаций:</w:t>
      </w:r>
    </w:p>
    <w:p w:rsidR="00BE59B8" w:rsidRPr="00C23C63" w:rsidRDefault="00F2508D" w:rsidP="00AE62E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D9608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72E7">
        <w:rPr>
          <w:rFonts w:ascii="Times New Roman" w:hAnsi="Times New Roman" w:cs="Times New Roman"/>
          <w:sz w:val="28"/>
          <w:szCs w:val="28"/>
        </w:rPr>
        <w:t xml:space="preserve"> </w:t>
      </w:r>
      <w:r w:rsidR="00D96081">
        <w:rPr>
          <w:rFonts w:ascii="Times New Roman" w:hAnsi="Times New Roman" w:cs="Times New Roman"/>
          <w:sz w:val="28"/>
          <w:szCs w:val="28"/>
        </w:rPr>
        <w:t>ноябр</w:t>
      </w:r>
      <w:r w:rsidR="00A972E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72E7">
        <w:rPr>
          <w:rFonts w:ascii="Times New Roman" w:hAnsi="Times New Roman" w:cs="Times New Roman"/>
          <w:sz w:val="28"/>
          <w:szCs w:val="28"/>
        </w:rPr>
        <w:t>1</w:t>
      </w:r>
      <w:r w:rsidR="00FB206D">
        <w:rPr>
          <w:rFonts w:ascii="Times New Roman" w:hAnsi="Times New Roman" w:cs="Times New Roman"/>
          <w:sz w:val="28"/>
          <w:szCs w:val="28"/>
        </w:rPr>
        <w:t>8</w:t>
      </w:r>
      <w:r w:rsidR="00A972E7">
        <w:rPr>
          <w:rFonts w:ascii="Times New Roman" w:hAnsi="Times New Roman" w:cs="Times New Roman"/>
          <w:sz w:val="28"/>
          <w:szCs w:val="28"/>
        </w:rPr>
        <w:t xml:space="preserve"> г., </w:t>
      </w:r>
      <w:r w:rsidR="00AE62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59B8">
        <w:rPr>
          <w:rFonts w:ascii="Times New Roman" w:hAnsi="Times New Roman" w:cs="Times New Roman"/>
          <w:sz w:val="28"/>
          <w:szCs w:val="28"/>
        </w:rPr>
        <w:t>окончание «</w:t>
      </w:r>
      <w:r w:rsidR="00D96081">
        <w:rPr>
          <w:rFonts w:ascii="Times New Roman" w:hAnsi="Times New Roman" w:cs="Times New Roman"/>
          <w:sz w:val="28"/>
          <w:szCs w:val="28"/>
        </w:rPr>
        <w:t>1</w:t>
      </w:r>
      <w:r w:rsidR="00AE62E8">
        <w:rPr>
          <w:rFonts w:ascii="Times New Roman" w:hAnsi="Times New Roman" w:cs="Times New Roman"/>
          <w:sz w:val="28"/>
          <w:szCs w:val="28"/>
        </w:rPr>
        <w:t>9</w:t>
      </w:r>
      <w:r w:rsidR="00A972E7">
        <w:rPr>
          <w:rFonts w:ascii="Times New Roman" w:hAnsi="Times New Roman" w:cs="Times New Roman"/>
          <w:sz w:val="28"/>
          <w:szCs w:val="28"/>
        </w:rPr>
        <w:t xml:space="preserve">» </w:t>
      </w:r>
      <w:r w:rsidR="00D96081">
        <w:rPr>
          <w:rFonts w:ascii="Times New Roman" w:hAnsi="Times New Roman" w:cs="Times New Roman"/>
          <w:sz w:val="28"/>
          <w:szCs w:val="28"/>
        </w:rPr>
        <w:t>ноября</w:t>
      </w:r>
      <w:r w:rsidR="00A972E7">
        <w:rPr>
          <w:rFonts w:ascii="Times New Roman" w:hAnsi="Times New Roman" w:cs="Times New Roman"/>
          <w:sz w:val="28"/>
          <w:szCs w:val="28"/>
        </w:rPr>
        <w:t xml:space="preserve"> 201</w:t>
      </w:r>
      <w:r w:rsidR="00FB206D">
        <w:rPr>
          <w:rFonts w:ascii="Times New Roman" w:hAnsi="Times New Roman" w:cs="Times New Roman"/>
          <w:sz w:val="28"/>
          <w:szCs w:val="28"/>
        </w:rPr>
        <w:t>8</w:t>
      </w:r>
      <w:r w:rsidR="00A972E7">
        <w:rPr>
          <w:rFonts w:ascii="Times New Roman" w:hAnsi="Times New Roman" w:cs="Times New Roman"/>
          <w:sz w:val="28"/>
          <w:szCs w:val="28"/>
        </w:rPr>
        <w:t xml:space="preserve"> </w:t>
      </w:r>
      <w:r w:rsidR="00BE59B8"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CF7303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6933C5">
      <w:pPr>
        <w:pStyle w:val="ConsPlusNonformat"/>
        <w:numPr>
          <w:ilvl w:val="0"/>
          <w:numId w:val="3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64A">
        <w:rPr>
          <w:rFonts w:ascii="Times New Roman" w:hAnsi="Times New Roman" w:cs="Times New Roman"/>
          <w:sz w:val="28"/>
          <w:szCs w:val="28"/>
        </w:rPr>
        <w:t>Общая информация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933C5" w:rsidRDefault="006933C5" w:rsidP="006933C5">
      <w:pPr>
        <w:pStyle w:val="ConsPlusNonformat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71BB0" w:rsidRDefault="00BE59B8" w:rsidP="00AE62E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Разработчик </w:t>
      </w:r>
      <w:r w:rsidRPr="003451D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451DE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A972E7">
        <w:rPr>
          <w:rFonts w:ascii="Times New Roman" w:hAnsi="Times New Roman" w:cs="Times New Roman"/>
          <w:sz w:val="28"/>
          <w:szCs w:val="28"/>
        </w:rPr>
        <w:t>правового акта</w:t>
      </w:r>
      <w:r w:rsidR="00AE62E8">
        <w:rPr>
          <w:rFonts w:ascii="Times New Roman" w:hAnsi="Times New Roman" w:cs="Times New Roman"/>
          <w:sz w:val="28"/>
          <w:szCs w:val="28"/>
        </w:rPr>
        <w:t xml:space="preserve">: </w:t>
      </w:r>
      <w:r w:rsidR="00280CCE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E62E8">
        <w:rPr>
          <w:rFonts w:ascii="Times New Roman" w:hAnsi="Times New Roman" w:cs="Times New Roman"/>
          <w:sz w:val="28"/>
          <w:szCs w:val="28"/>
        </w:rPr>
        <w:t>муниципального имущества и земельных ресурсов</w:t>
      </w:r>
      <w:r w:rsidR="00280CC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 (К</w:t>
      </w:r>
      <w:r w:rsidR="00AE62E8">
        <w:rPr>
          <w:rFonts w:ascii="Times New Roman" w:hAnsi="Times New Roman" w:cs="Times New Roman"/>
          <w:sz w:val="28"/>
          <w:szCs w:val="28"/>
        </w:rPr>
        <w:t>МИиЗР</w:t>
      </w:r>
      <w:r w:rsidR="00280CCE">
        <w:rPr>
          <w:rFonts w:ascii="Times New Roman" w:hAnsi="Times New Roman" w:cs="Times New Roman"/>
          <w:sz w:val="28"/>
          <w:szCs w:val="28"/>
        </w:rPr>
        <w:t>)</w:t>
      </w:r>
    </w:p>
    <w:p w:rsidR="00BE59B8" w:rsidRPr="00252D09" w:rsidRDefault="00471BB0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</w:t>
      </w:r>
      <w:r w:rsidR="00BE59B8" w:rsidRPr="00252D09">
        <w:rPr>
          <w:rFonts w:ascii="Times New Roman" w:hAnsi="Times New Roman" w:cs="Times New Roman"/>
          <w:i/>
          <w:iCs/>
        </w:rPr>
        <w:t>(указывается полное и краткое наименование)</w:t>
      </w:r>
    </w:p>
    <w:p w:rsidR="00BE59B8" w:rsidRPr="00A972E7" w:rsidRDefault="00BE59B8" w:rsidP="00A972E7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проблемы, на решение которой направлен предлагаемый способ регулирования</w:t>
      </w:r>
      <w:r w:rsidR="00AE62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E8" w:rsidRPr="00744A05" w:rsidRDefault="00AE62E8" w:rsidP="00AE62E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4A05">
        <w:rPr>
          <w:rFonts w:ascii="Times New Roman" w:hAnsi="Times New Roman" w:cs="Times New Roman"/>
          <w:sz w:val="28"/>
          <w:szCs w:val="28"/>
        </w:rPr>
        <w:t xml:space="preserve">упорядочение, правовое регулирование и последующий контроль в сфере правоотношений, возникающих в связи с использованием опор наружного освещения, </w:t>
      </w:r>
      <w:r w:rsidR="00FB206D">
        <w:rPr>
          <w:rFonts w:ascii="Times New Roman" w:hAnsi="Times New Roman" w:cs="Times New Roman"/>
          <w:sz w:val="28"/>
          <w:szCs w:val="28"/>
        </w:rPr>
        <w:t>элементов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(опор)</w:t>
      </w:r>
      <w:r w:rsidR="00FB206D">
        <w:rPr>
          <w:rFonts w:ascii="Times New Roman" w:hAnsi="Times New Roman" w:cs="Times New Roman"/>
          <w:sz w:val="28"/>
          <w:szCs w:val="28"/>
        </w:rPr>
        <w:t xml:space="preserve">, </w:t>
      </w:r>
      <w:r w:rsidRPr="00744A05">
        <w:rPr>
          <w:rFonts w:ascii="Times New Roman" w:hAnsi="Times New Roman" w:cs="Times New Roman"/>
          <w:sz w:val="28"/>
          <w:szCs w:val="28"/>
        </w:rPr>
        <w:t>находящихся в собственности городс</w:t>
      </w:r>
      <w:r w:rsidR="00FB206D">
        <w:rPr>
          <w:rFonts w:ascii="Times New Roman" w:hAnsi="Times New Roman" w:cs="Times New Roman"/>
          <w:sz w:val="28"/>
          <w:szCs w:val="28"/>
        </w:rPr>
        <w:t>кого округа «Город Калининград»</w:t>
      </w:r>
      <w:r w:rsidRPr="00744A05">
        <w:rPr>
          <w:rFonts w:ascii="Times New Roman" w:hAnsi="Times New Roman" w:cs="Times New Roman"/>
          <w:sz w:val="28"/>
          <w:szCs w:val="28"/>
        </w:rPr>
        <w:t>;</w:t>
      </w:r>
    </w:p>
    <w:p w:rsidR="00AE62E8" w:rsidRPr="00AE62E8" w:rsidRDefault="00AE62E8" w:rsidP="00AE62E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A05">
        <w:rPr>
          <w:rFonts w:ascii="Times New Roman" w:hAnsi="Times New Roman" w:cs="Times New Roman"/>
          <w:sz w:val="28"/>
          <w:szCs w:val="28"/>
        </w:rPr>
        <w:t xml:space="preserve">- обеспечение недопущения </w:t>
      </w:r>
      <w:r w:rsidR="00D96081">
        <w:rPr>
          <w:rFonts w:ascii="Times New Roman" w:hAnsi="Times New Roman" w:cs="Times New Roman"/>
          <w:sz w:val="28"/>
          <w:szCs w:val="28"/>
        </w:rPr>
        <w:t>несогласованного</w:t>
      </w:r>
      <w:r w:rsidRPr="00744A05">
        <w:rPr>
          <w:rFonts w:ascii="Times New Roman" w:hAnsi="Times New Roman" w:cs="Times New Roman"/>
          <w:sz w:val="28"/>
          <w:szCs w:val="28"/>
        </w:rPr>
        <w:t xml:space="preserve"> подвеса объектов в целях безопасной эксплуатации опор</w:t>
      </w:r>
      <w:r w:rsidR="00FB206D">
        <w:rPr>
          <w:rFonts w:ascii="Times New Roman" w:hAnsi="Times New Roman" w:cs="Times New Roman"/>
          <w:sz w:val="28"/>
          <w:szCs w:val="28"/>
        </w:rPr>
        <w:t>, элементов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(опор)</w:t>
      </w:r>
      <w:r w:rsidRPr="00744A05">
        <w:rPr>
          <w:rFonts w:ascii="Times New Roman" w:hAnsi="Times New Roman" w:cs="Times New Roman"/>
          <w:sz w:val="28"/>
          <w:szCs w:val="28"/>
        </w:rPr>
        <w:t>.</w:t>
      </w:r>
    </w:p>
    <w:p w:rsidR="00AE62E8" w:rsidRDefault="00BE59B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целей предлагаемого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744A05" w:rsidRDefault="00AE62E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>- упорядочение размещения третьими лицами объектов на опорах наружного освещения</w:t>
      </w:r>
      <w:r w:rsidR="00FB206D">
        <w:rPr>
          <w:rFonts w:ascii="Times New Roman" w:hAnsi="Times New Roman" w:cs="Times New Roman"/>
          <w:sz w:val="28"/>
          <w:szCs w:val="28"/>
        </w:rPr>
        <w:t>, элементах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(опорах)</w:t>
      </w:r>
      <w:r w:rsidR="00FB206D">
        <w:rPr>
          <w:rFonts w:ascii="Times New Roman" w:hAnsi="Times New Roman" w:cs="Times New Roman"/>
          <w:sz w:val="28"/>
          <w:szCs w:val="28"/>
        </w:rPr>
        <w:t xml:space="preserve"> </w:t>
      </w:r>
      <w:r w:rsidRPr="00744A05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Калининград»;</w:t>
      </w:r>
    </w:p>
    <w:p w:rsidR="00AE62E8" w:rsidRDefault="00AE62E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>- обеспечение недопущения не</w:t>
      </w:r>
      <w:r w:rsidR="00FB206D">
        <w:rPr>
          <w:rFonts w:ascii="Times New Roman" w:hAnsi="Times New Roman" w:cs="Times New Roman"/>
          <w:sz w:val="28"/>
          <w:szCs w:val="28"/>
        </w:rPr>
        <w:t>согласованн</w:t>
      </w:r>
      <w:r w:rsidRPr="00744A05">
        <w:rPr>
          <w:rFonts w:ascii="Times New Roman" w:hAnsi="Times New Roman" w:cs="Times New Roman"/>
          <w:sz w:val="28"/>
          <w:szCs w:val="28"/>
        </w:rPr>
        <w:t>ого подвеса объектов в целях безопасной эксплуатации опор</w:t>
      </w:r>
      <w:r w:rsidR="00FB206D">
        <w:rPr>
          <w:rFonts w:ascii="Times New Roman" w:hAnsi="Times New Roman" w:cs="Times New Roman"/>
          <w:sz w:val="28"/>
          <w:szCs w:val="28"/>
        </w:rPr>
        <w:t>, элементов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(опор)</w:t>
      </w:r>
      <w:r w:rsidRPr="00744A0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59B8" w:rsidRDefault="00BE59B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предлагаемого способа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56577D" w:rsidRDefault="00AF74BA" w:rsidP="00744A0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BB9" w:rsidRPr="00AF74BA">
        <w:rPr>
          <w:rFonts w:ascii="Times New Roman" w:hAnsi="Times New Roman" w:cs="Times New Roman"/>
          <w:sz w:val="28"/>
          <w:szCs w:val="28"/>
        </w:rPr>
        <w:t>Пре</w:t>
      </w:r>
      <w:r w:rsidR="007102F1" w:rsidRPr="00AF74BA">
        <w:rPr>
          <w:rFonts w:ascii="Times New Roman" w:hAnsi="Times New Roman" w:cs="Times New Roman"/>
          <w:sz w:val="28"/>
          <w:szCs w:val="28"/>
        </w:rPr>
        <w:t xml:space="preserve">длагается </w:t>
      </w:r>
      <w:r w:rsidR="00AE62E8" w:rsidRPr="00AF74B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акт, утверждающий </w:t>
      </w:r>
      <w:r w:rsidR="00360BB9" w:rsidRPr="00AF74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F74BA">
        <w:rPr>
          <w:rFonts w:ascii="Times New Roman" w:hAnsi="Times New Roman" w:cs="Times New Roman"/>
          <w:sz w:val="28"/>
          <w:szCs w:val="28"/>
        </w:rPr>
        <w:t xml:space="preserve">размещения объектов на опорах наружного освещения, </w:t>
      </w:r>
      <w:r w:rsidR="00FB206D">
        <w:rPr>
          <w:rFonts w:ascii="Times New Roman" w:hAnsi="Times New Roman" w:cs="Times New Roman"/>
          <w:sz w:val="28"/>
          <w:szCs w:val="28"/>
        </w:rPr>
        <w:t>элементах контактной сети</w:t>
      </w:r>
      <w:r w:rsidR="00D96081">
        <w:rPr>
          <w:rFonts w:ascii="Times New Roman" w:hAnsi="Times New Roman" w:cs="Times New Roman"/>
          <w:sz w:val="28"/>
          <w:szCs w:val="28"/>
        </w:rPr>
        <w:t xml:space="preserve"> (опорах)</w:t>
      </w:r>
      <w:r w:rsidR="00FB206D">
        <w:rPr>
          <w:rFonts w:ascii="Times New Roman" w:hAnsi="Times New Roman" w:cs="Times New Roman"/>
          <w:sz w:val="28"/>
          <w:szCs w:val="28"/>
        </w:rPr>
        <w:t xml:space="preserve">, </w:t>
      </w:r>
      <w:r w:rsidRPr="00AF74BA">
        <w:rPr>
          <w:rFonts w:ascii="Times New Roman" w:hAnsi="Times New Roman" w:cs="Times New Roman"/>
          <w:sz w:val="28"/>
          <w:szCs w:val="28"/>
        </w:rPr>
        <w:t>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размещение третьими лицами объектов на </w:t>
      </w:r>
      <w:r w:rsidR="00FB206D">
        <w:rPr>
          <w:rFonts w:ascii="Times New Roman" w:hAnsi="Times New Roman" w:cs="Times New Roman"/>
          <w:sz w:val="28"/>
          <w:szCs w:val="28"/>
        </w:rPr>
        <w:t>указанном муниципальном имуществе</w:t>
      </w:r>
      <w:r>
        <w:rPr>
          <w:rFonts w:ascii="Times New Roman" w:hAnsi="Times New Roman" w:cs="Times New Roman"/>
          <w:sz w:val="28"/>
          <w:szCs w:val="28"/>
        </w:rPr>
        <w:t xml:space="preserve"> будет допускаться только при</w:t>
      </w:r>
      <w:r w:rsidR="00565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 технической возможности, определяемой </w:t>
      </w:r>
      <w:r w:rsidR="0056577D">
        <w:rPr>
          <w:rFonts w:ascii="Times New Roman" w:hAnsi="Times New Roman" w:cs="Times New Roman"/>
          <w:sz w:val="28"/>
          <w:szCs w:val="28"/>
        </w:rPr>
        <w:t xml:space="preserve">исходя из технического </w:t>
      </w:r>
      <w:r w:rsidR="0056577D">
        <w:rPr>
          <w:rFonts w:ascii="Times New Roman" w:hAnsi="Times New Roman" w:cs="Times New Roman"/>
          <w:sz w:val="28"/>
          <w:szCs w:val="28"/>
        </w:rPr>
        <w:lastRenderedPageBreak/>
        <w:t>состояни</w:t>
      </w:r>
      <w:r w:rsidR="00D96081">
        <w:rPr>
          <w:rFonts w:ascii="Times New Roman" w:hAnsi="Times New Roman" w:cs="Times New Roman"/>
          <w:sz w:val="28"/>
          <w:szCs w:val="28"/>
        </w:rPr>
        <w:t>я</w:t>
      </w:r>
      <w:r w:rsidR="0056577D">
        <w:rPr>
          <w:rFonts w:ascii="Times New Roman" w:hAnsi="Times New Roman" w:cs="Times New Roman"/>
          <w:sz w:val="28"/>
          <w:szCs w:val="28"/>
        </w:rPr>
        <w:t xml:space="preserve"> опор</w:t>
      </w:r>
      <w:r w:rsidR="00D96081">
        <w:rPr>
          <w:rFonts w:ascii="Times New Roman" w:hAnsi="Times New Roman" w:cs="Times New Roman"/>
          <w:sz w:val="28"/>
          <w:szCs w:val="28"/>
        </w:rPr>
        <w:t xml:space="preserve">, при условии </w:t>
      </w:r>
      <w:r w:rsidR="0056577D">
        <w:rPr>
          <w:rFonts w:ascii="Times New Roman" w:hAnsi="Times New Roman" w:cs="Times New Roman"/>
          <w:sz w:val="28"/>
          <w:szCs w:val="28"/>
        </w:rPr>
        <w:t>заключения</w:t>
      </w:r>
      <w:r w:rsidR="00D96081">
        <w:rPr>
          <w:rFonts w:ascii="Times New Roman" w:hAnsi="Times New Roman" w:cs="Times New Roman"/>
          <w:sz w:val="28"/>
          <w:szCs w:val="28"/>
        </w:rPr>
        <w:t xml:space="preserve"> в обязательном порядке</w:t>
      </w:r>
      <w:r w:rsidR="0056577D">
        <w:rPr>
          <w:rFonts w:ascii="Times New Roman" w:hAnsi="Times New Roman" w:cs="Times New Roman"/>
          <w:sz w:val="28"/>
          <w:szCs w:val="28"/>
        </w:rPr>
        <w:t xml:space="preserve"> договора на право размещения объектов на опорах</w:t>
      </w:r>
      <w:r w:rsidR="00D128A4">
        <w:rPr>
          <w:rFonts w:ascii="Times New Roman" w:hAnsi="Times New Roman" w:cs="Times New Roman"/>
          <w:sz w:val="28"/>
          <w:szCs w:val="28"/>
        </w:rPr>
        <w:t xml:space="preserve"> </w:t>
      </w:r>
      <w:r w:rsidR="0056577D">
        <w:rPr>
          <w:rFonts w:ascii="Times New Roman" w:hAnsi="Times New Roman" w:cs="Times New Roman"/>
          <w:sz w:val="28"/>
          <w:szCs w:val="28"/>
        </w:rPr>
        <w:t>наружного освещения</w:t>
      </w:r>
      <w:r w:rsidR="00D96081">
        <w:rPr>
          <w:rFonts w:ascii="Times New Roman" w:hAnsi="Times New Roman" w:cs="Times New Roman"/>
          <w:sz w:val="28"/>
          <w:szCs w:val="28"/>
        </w:rPr>
        <w:t>, элементах контактной сети (опорах)</w:t>
      </w:r>
      <w:r w:rsidR="00D128A4">
        <w:rPr>
          <w:rFonts w:ascii="Times New Roman" w:hAnsi="Times New Roman" w:cs="Times New Roman"/>
          <w:sz w:val="28"/>
          <w:szCs w:val="28"/>
        </w:rPr>
        <w:t>.</w:t>
      </w:r>
      <w:r w:rsidR="00D96081">
        <w:rPr>
          <w:rFonts w:ascii="Times New Roman" w:hAnsi="Times New Roman" w:cs="Times New Roman"/>
          <w:sz w:val="28"/>
          <w:szCs w:val="28"/>
        </w:rPr>
        <w:t xml:space="preserve"> При этом, размещение на опорах сетей электроснабжения, линий связи </w:t>
      </w:r>
      <w:r w:rsidR="00142D0E">
        <w:rPr>
          <w:rFonts w:ascii="Times New Roman" w:hAnsi="Times New Roman" w:cs="Times New Roman"/>
          <w:sz w:val="28"/>
          <w:szCs w:val="28"/>
        </w:rPr>
        <w:t>будет</w:t>
      </w:r>
      <w:r w:rsidR="00D96081">
        <w:rPr>
          <w:rFonts w:ascii="Times New Roman" w:hAnsi="Times New Roman" w:cs="Times New Roman"/>
          <w:sz w:val="28"/>
          <w:szCs w:val="28"/>
        </w:rPr>
        <w:t xml:space="preserve"> возможн</w:t>
      </w:r>
      <w:r w:rsidR="00142D0E">
        <w:rPr>
          <w:rFonts w:ascii="Times New Roman" w:hAnsi="Times New Roman" w:cs="Times New Roman"/>
          <w:sz w:val="28"/>
          <w:szCs w:val="28"/>
        </w:rPr>
        <w:t>о</w:t>
      </w:r>
      <w:r w:rsidR="00D96081">
        <w:rPr>
          <w:rFonts w:ascii="Times New Roman" w:hAnsi="Times New Roman" w:cs="Times New Roman"/>
          <w:sz w:val="28"/>
          <w:szCs w:val="28"/>
        </w:rPr>
        <w:t xml:space="preserve"> только при наличии заключения о соответствии плана сети электроснабжения/линий связи сводному плану подземных коммуникаций и сооружений на территории ГО «Город Калининград», представляемого структурным подразделением администрации в рамках оказания муниципальной услуги.</w:t>
      </w:r>
    </w:p>
    <w:p w:rsidR="00BE59B8" w:rsidRDefault="0056577D" w:rsidP="00744A05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59B8">
        <w:rPr>
          <w:rFonts w:ascii="Times New Roman" w:hAnsi="Times New Roman" w:cs="Times New Roman"/>
          <w:sz w:val="28"/>
          <w:szCs w:val="28"/>
        </w:rPr>
        <w:t>1.5.</w:t>
      </w:r>
      <w:r w:rsidR="00BE59B8"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И</w:t>
      </w:r>
      <w:r w:rsidR="00BE59B8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E46988">
        <w:rPr>
          <w:rFonts w:ascii="Times New Roman" w:hAnsi="Times New Roman" w:cs="Times New Roman"/>
          <w:sz w:val="28"/>
          <w:szCs w:val="28"/>
        </w:rPr>
        <w:t>об исполнителе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744A05" w:rsidRDefault="00744A05" w:rsidP="00744A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7E1">
        <w:rPr>
          <w:rFonts w:ascii="Times New Roman" w:hAnsi="Times New Roman" w:cs="Times New Roman"/>
          <w:sz w:val="28"/>
          <w:szCs w:val="28"/>
        </w:rPr>
        <w:t>Левчук Юлия Игоревна</w:t>
      </w:r>
      <w:r w:rsidR="002424BA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="00BF27E1">
        <w:rPr>
          <w:rFonts w:ascii="Times New Roman" w:hAnsi="Times New Roman" w:cs="Times New Roman"/>
          <w:sz w:val="28"/>
          <w:szCs w:val="28"/>
        </w:rPr>
        <w:t xml:space="preserve"> отдела распоряжения муниципальной собственностью управления имущественных отношений </w:t>
      </w:r>
      <w:r w:rsidR="002424BA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BF27E1">
        <w:rPr>
          <w:rFonts w:ascii="Times New Roman" w:hAnsi="Times New Roman" w:cs="Times New Roman"/>
          <w:sz w:val="28"/>
          <w:szCs w:val="28"/>
        </w:rPr>
        <w:t>муниципального имущества и земельных ресурсов администрации городского округа «Город Калининград»</w:t>
      </w:r>
      <w:r w:rsidR="002424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2424BA">
        <w:rPr>
          <w:rFonts w:ascii="Times New Roman" w:hAnsi="Times New Roman" w:cs="Times New Roman"/>
          <w:sz w:val="28"/>
          <w:szCs w:val="28"/>
        </w:rPr>
        <w:t>92-32-</w:t>
      </w:r>
      <w:r w:rsidR="00BF27E1">
        <w:rPr>
          <w:rFonts w:ascii="Times New Roman" w:hAnsi="Times New Roman" w:cs="Times New Roman"/>
          <w:sz w:val="28"/>
          <w:szCs w:val="28"/>
        </w:rPr>
        <w:t>65</w:t>
      </w:r>
      <w:r w:rsidR="002424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F27E1" w:rsidRPr="003459C0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levchuk</w:t>
        </w:r>
        <w:r w:rsidR="00BF27E1" w:rsidRPr="003459C0">
          <w:rPr>
            <w:rStyle w:val="afb"/>
            <w:rFonts w:ascii="Times New Roman" w:eastAsia="Times New Roman" w:hAnsi="Times New Roman" w:cs="Times New Roman"/>
            <w:sz w:val="28"/>
            <w:szCs w:val="28"/>
          </w:rPr>
          <w:t>@klgd.ru</w:t>
        </w:r>
      </w:hyperlink>
    </w:p>
    <w:p w:rsidR="00744A05" w:rsidRPr="00744A05" w:rsidRDefault="00744A05" w:rsidP="00744A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89546F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546F">
        <w:rPr>
          <w:rFonts w:ascii="Times New Roman" w:hAnsi="Times New Roman" w:cs="Times New Roman"/>
          <w:sz w:val="28"/>
          <w:szCs w:val="28"/>
        </w:rPr>
        <w:t>. Описание проблемы, на решение которой направлен</w:t>
      </w:r>
    </w:p>
    <w:p w:rsidR="00BE59B8" w:rsidRPr="0089546F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46F">
        <w:rPr>
          <w:rFonts w:ascii="Times New Roman" w:hAnsi="Times New Roman" w:cs="Times New Roman"/>
          <w:sz w:val="28"/>
          <w:szCs w:val="28"/>
        </w:rPr>
        <w:t>предлагаемый способ регулирования, оценка негативных эффектов,</w:t>
      </w:r>
    </w:p>
    <w:p w:rsidR="00BE59B8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46F">
        <w:rPr>
          <w:rFonts w:ascii="Times New Roman" w:hAnsi="Times New Roman" w:cs="Times New Roman"/>
          <w:sz w:val="28"/>
          <w:szCs w:val="28"/>
        </w:rPr>
        <w:t>возникающих в связи с наличием рассматриваемой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933C5" w:rsidRPr="0089546F" w:rsidRDefault="006933C5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44A05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 предлагаемый способ регулирования, условий и факторов ее существования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C1059" w:rsidRPr="00BC1059" w:rsidRDefault="00BC1059" w:rsidP="00BC10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3967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направлено </w:t>
      </w:r>
      <w:r w:rsidR="009F3967" w:rsidRPr="00AC7F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упорядочение</w:t>
      </w:r>
      <w:r w:rsidRPr="00BC1059">
        <w:rPr>
          <w:rFonts w:ascii="Times New Roman" w:hAnsi="Times New Roman" w:cs="Times New Roman"/>
          <w:sz w:val="28"/>
          <w:szCs w:val="28"/>
        </w:rPr>
        <w:t xml:space="preserve"> и последующий контроль в сфере правоотношений, возникающих в связи с использованием опор наружного освещения, </w:t>
      </w:r>
      <w:r w:rsidR="00FB206D">
        <w:rPr>
          <w:rFonts w:ascii="Times New Roman" w:hAnsi="Times New Roman" w:cs="Times New Roman"/>
          <w:sz w:val="28"/>
          <w:szCs w:val="28"/>
        </w:rPr>
        <w:t>элемент</w:t>
      </w:r>
      <w:r w:rsidR="00D96081">
        <w:rPr>
          <w:rFonts w:ascii="Times New Roman" w:hAnsi="Times New Roman" w:cs="Times New Roman"/>
          <w:sz w:val="28"/>
          <w:szCs w:val="28"/>
        </w:rPr>
        <w:t>ов контактной сети (опор</w:t>
      </w:r>
      <w:r w:rsidR="00FB206D">
        <w:rPr>
          <w:rFonts w:ascii="Times New Roman" w:hAnsi="Times New Roman" w:cs="Times New Roman"/>
          <w:sz w:val="28"/>
          <w:szCs w:val="28"/>
        </w:rPr>
        <w:t xml:space="preserve">), </w:t>
      </w:r>
      <w:r w:rsidRPr="00BC1059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D9608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. Более того, направлено на </w:t>
      </w:r>
      <w:r w:rsidRPr="00BC1059">
        <w:rPr>
          <w:rFonts w:ascii="Times New Roman" w:hAnsi="Times New Roman" w:cs="Times New Roman"/>
          <w:sz w:val="28"/>
          <w:szCs w:val="28"/>
        </w:rPr>
        <w:t>обеспечение недопущения н</w:t>
      </w:r>
      <w:r w:rsidR="00D96081">
        <w:rPr>
          <w:rFonts w:ascii="Times New Roman" w:hAnsi="Times New Roman" w:cs="Times New Roman"/>
          <w:sz w:val="28"/>
          <w:szCs w:val="28"/>
        </w:rPr>
        <w:t>есогласованного</w:t>
      </w:r>
      <w:r w:rsidRPr="00BC1059">
        <w:rPr>
          <w:rFonts w:ascii="Times New Roman" w:hAnsi="Times New Roman" w:cs="Times New Roman"/>
          <w:sz w:val="28"/>
          <w:szCs w:val="28"/>
        </w:rPr>
        <w:t xml:space="preserve"> подвеса объектов в целях безопасной эксплуатации опор.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Негативные эффекты, возникшие в связи с наличием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C505F" w:rsidRPr="003C559D" w:rsidRDefault="003F5722" w:rsidP="00424135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BE">
        <w:rPr>
          <w:rFonts w:ascii="Times New Roman" w:hAnsi="Times New Roman" w:cs="Times New Roman"/>
          <w:sz w:val="28"/>
          <w:szCs w:val="28"/>
        </w:rPr>
        <w:t>размещение третьими лицами объектов на опорах наружного освещения</w:t>
      </w:r>
      <w:r w:rsidR="00142D0E">
        <w:rPr>
          <w:rFonts w:ascii="Times New Roman" w:hAnsi="Times New Roman" w:cs="Times New Roman"/>
          <w:sz w:val="28"/>
          <w:szCs w:val="28"/>
        </w:rPr>
        <w:t>, элементах контактной сети (опорах)</w:t>
      </w:r>
      <w:r w:rsidR="003751BE">
        <w:rPr>
          <w:rFonts w:ascii="Times New Roman" w:hAnsi="Times New Roman" w:cs="Times New Roman"/>
          <w:sz w:val="28"/>
          <w:szCs w:val="28"/>
        </w:rPr>
        <w:t xml:space="preserve"> без согласования  с собственником, без учета технического состояния опор наружного освещения. Необеспечение безопасности населения города, нанесение ущерба муниципальному имуществу.</w:t>
      </w:r>
      <w:r w:rsidR="00FB206D">
        <w:rPr>
          <w:rFonts w:ascii="Times New Roman" w:hAnsi="Times New Roman" w:cs="Times New Roman"/>
          <w:sz w:val="28"/>
          <w:szCs w:val="28"/>
        </w:rPr>
        <w:t xml:space="preserve"> Отсутствие единого порядка, регламентирующего размещение третьими лицами объектов на опорах наружного освещения и элементах контактной сети, находящихся в муниципальной собственности.</w:t>
      </w:r>
      <w:r w:rsidR="00BC105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Источники данных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3751BE" w:rsidP="003751BE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28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городского округа «Город Калининград», МКУ «Калининградская служба заказчика»</w:t>
      </w:r>
      <w:r w:rsidR="00FB206D">
        <w:rPr>
          <w:rFonts w:ascii="Times New Roman" w:hAnsi="Times New Roman" w:cs="Times New Roman"/>
          <w:sz w:val="28"/>
          <w:szCs w:val="28"/>
        </w:rPr>
        <w:t>, МКП «Калининград-ГорТранс»</w:t>
      </w:r>
      <w:r w:rsidR="000F697A">
        <w:rPr>
          <w:rFonts w:ascii="Times New Roman" w:hAnsi="Times New Roman" w:cs="Times New Roman"/>
          <w:sz w:val="28"/>
          <w:szCs w:val="28"/>
        </w:rPr>
        <w:t>.</w:t>
      </w:r>
    </w:p>
    <w:p w:rsidR="006933C5" w:rsidRDefault="006933C5" w:rsidP="003751BE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697A" w:rsidRPr="003C559D" w:rsidRDefault="000F697A" w:rsidP="003751BE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5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Цели предлагаемого регулирования и их соответствие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 в сфере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933C5" w:rsidRDefault="006933C5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Цели предлагаемого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0F697A" w:rsidRDefault="000F697A" w:rsidP="000F69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44A05">
        <w:rPr>
          <w:rFonts w:ascii="Times New Roman" w:hAnsi="Times New Roman" w:cs="Times New Roman"/>
          <w:sz w:val="28"/>
          <w:szCs w:val="28"/>
        </w:rPr>
        <w:t>- упорядочение размещения третьими лицами объектов на опорах наружного освещения</w:t>
      </w:r>
      <w:r w:rsidR="00FB206D">
        <w:rPr>
          <w:rFonts w:ascii="Times New Roman" w:hAnsi="Times New Roman" w:cs="Times New Roman"/>
          <w:sz w:val="28"/>
          <w:szCs w:val="28"/>
        </w:rPr>
        <w:t>, элементах контактной сети</w:t>
      </w:r>
      <w:r w:rsidRPr="00744A05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Калининград»;</w:t>
      </w:r>
    </w:p>
    <w:p w:rsidR="000F697A" w:rsidRPr="00744A05" w:rsidRDefault="000F697A" w:rsidP="000F69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>- обеспечение недопущения не</w:t>
      </w:r>
      <w:r w:rsidR="00FB206D">
        <w:rPr>
          <w:rFonts w:ascii="Times New Roman" w:hAnsi="Times New Roman" w:cs="Times New Roman"/>
          <w:sz w:val="28"/>
          <w:szCs w:val="28"/>
        </w:rPr>
        <w:t>согласованного</w:t>
      </w:r>
      <w:r w:rsidRPr="00744A05">
        <w:rPr>
          <w:rFonts w:ascii="Times New Roman" w:hAnsi="Times New Roman" w:cs="Times New Roman"/>
          <w:sz w:val="28"/>
          <w:szCs w:val="28"/>
        </w:rPr>
        <w:t xml:space="preserve"> подвеса объектов в целях безопасной эксплуатации опор.  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Установленные сроки достижения целей предлагаемого </w:t>
      </w:r>
      <w:r w:rsidR="00581E87">
        <w:rPr>
          <w:rFonts w:ascii="Times New Roman" w:hAnsi="Times New Roman" w:cs="Times New Roman"/>
          <w:sz w:val="28"/>
          <w:szCs w:val="28"/>
        </w:rPr>
        <w:t>регулирования</w:t>
      </w:r>
      <w:r w:rsidR="000F697A">
        <w:rPr>
          <w:rFonts w:ascii="Times New Roman" w:hAnsi="Times New Roman" w:cs="Times New Roman"/>
          <w:sz w:val="28"/>
          <w:szCs w:val="28"/>
        </w:rPr>
        <w:t>:</w:t>
      </w:r>
      <w:r w:rsidR="00581E87">
        <w:rPr>
          <w:rFonts w:ascii="Times New Roman" w:hAnsi="Times New Roman" w:cs="Times New Roman"/>
          <w:sz w:val="28"/>
          <w:szCs w:val="28"/>
        </w:rPr>
        <w:t xml:space="preserve"> 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="00D128A4">
        <w:rPr>
          <w:rFonts w:ascii="Times New Roman" w:hAnsi="Times New Roman" w:cs="Times New Roman"/>
          <w:sz w:val="28"/>
          <w:szCs w:val="28"/>
        </w:rPr>
        <w:t>постоянно.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0F697A" w:rsidP="000F697A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предполагаемого правового регулирования соответствует принципам свободы предпринимательской деятельности, свободы договора, принцип неприкосновенности и юридического равенства всех форм собственности, принципу законности.</w:t>
      </w:r>
    </w:p>
    <w:p w:rsidR="000F697A" w:rsidRPr="003C559D" w:rsidRDefault="000F697A" w:rsidP="000F697A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256B">
        <w:rPr>
          <w:rFonts w:ascii="Times New Roman" w:hAnsi="Times New Roman" w:cs="Times New Roman"/>
          <w:sz w:val="28"/>
          <w:szCs w:val="28"/>
        </w:rPr>
        <w:t>Описание предлагаемого регулирования и иных возможных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</w:t>
      </w:r>
      <w:r w:rsidRPr="008C256B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933C5" w:rsidRDefault="006933C5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102F1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Описание предлагаемого </w:t>
      </w:r>
      <w:r w:rsidRPr="00CF7303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решения проблемы и преодоление связанных с ней негативных эффектов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142D0E" w:rsidRDefault="00142D0E" w:rsidP="007102F1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697A">
        <w:rPr>
          <w:rFonts w:ascii="Times New Roman" w:hAnsi="Times New Roman" w:cs="Times New Roman"/>
          <w:sz w:val="28"/>
          <w:szCs w:val="28"/>
        </w:rPr>
        <w:t xml:space="preserve">размещение третьими лицами </w:t>
      </w:r>
      <w:r>
        <w:rPr>
          <w:rFonts w:ascii="Times New Roman" w:hAnsi="Times New Roman" w:cs="Times New Roman"/>
          <w:sz w:val="28"/>
          <w:szCs w:val="28"/>
        </w:rPr>
        <w:t xml:space="preserve">линий электроснабжения / линий связи </w:t>
      </w:r>
      <w:r w:rsidRPr="000F697A">
        <w:rPr>
          <w:rFonts w:ascii="Times New Roman" w:hAnsi="Times New Roman" w:cs="Times New Roman"/>
          <w:sz w:val="28"/>
          <w:szCs w:val="28"/>
        </w:rPr>
        <w:t xml:space="preserve"> на опорах наружного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, элементах контактной сети (опорах) </w:t>
      </w:r>
      <w:r w:rsidRPr="000F697A">
        <w:rPr>
          <w:rFonts w:ascii="Times New Roman" w:hAnsi="Times New Roman" w:cs="Times New Roman"/>
          <w:sz w:val="28"/>
          <w:szCs w:val="28"/>
        </w:rPr>
        <w:t xml:space="preserve"> допускается только в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заключения о соответствии плана сети электроснабжения/линий связи сводному плану подземных коммуникаций и сооружений на территории ГО «Город Калининград», наличия </w:t>
      </w:r>
      <w:r w:rsidRPr="000F697A">
        <w:rPr>
          <w:rFonts w:ascii="Times New Roman" w:hAnsi="Times New Roman" w:cs="Times New Roman"/>
          <w:sz w:val="28"/>
          <w:szCs w:val="28"/>
        </w:rPr>
        <w:t>технической возможности, определяемой исходя из технического состояния опор, и при условии заключения договора на право размещения объектов на опорах наружного освещения</w:t>
      </w:r>
      <w:r>
        <w:rPr>
          <w:rFonts w:ascii="Times New Roman" w:hAnsi="Times New Roman" w:cs="Times New Roman"/>
          <w:sz w:val="28"/>
          <w:szCs w:val="28"/>
        </w:rPr>
        <w:t>, элементах контактной сети, своевременного внесения  соразмерной оплаты за такое размещение</w:t>
      </w:r>
      <w:r w:rsidRPr="000F697A">
        <w:rPr>
          <w:rFonts w:ascii="Times New Roman" w:hAnsi="Times New Roman" w:cs="Times New Roman"/>
          <w:sz w:val="28"/>
          <w:szCs w:val="28"/>
        </w:rPr>
        <w:t>;</w:t>
      </w:r>
    </w:p>
    <w:p w:rsidR="000F697A" w:rsidRP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>- размещение третьими лицами</w:t>
      </w:r>
      <w:r w:rsidR="00142D0E">
        <w:rPr>
          <w:rFonts w:ascii="Times New Roman" w:hAnsi="Times New Roman" w:cs="Times New Roman"/>
          <w:sz w:val="28"/>
          <w:szCs w:val="28"/>
        </w:rPr>
        <w:t xml:space="preserve"> </w:t>
      </w:r>
      <w:r w:rsidR="00142D0E" w:rsidRPr="000F697A">
        <w:rPr>
          <w:rFonts w:ascii="Times New Roman" w:hAnsi="Times New Roman" w:cs="Times New Roman"/>
          <w:sz w:val="28"/>
          <w:szCs w:val="28"/>
        </w:rPr>
        <w:t>на опорах наружного освещения</w:t>
      </w:r>
      <w:r w:rsidR="00142D0E">
        <w:rPr>
          <w:rFonts w:ascii="Times New Roman" w:hAnsi="Times New Roman" w:cs="Times New Roman"/>
          <w:sz w:val="28"/>
          <w:szCs w:val="28"/>
        </w:rPr>
        <w:t>, элементах контактной сети муниципальной собственности</w:t>
      </w:r>
      <w:r w:rsidR="000F697A" w:rsidRPr="000F697A">
        <w:rPr>
          <w:rFonts w:ascii="Times New Roman" w:hAnsi="Times New Roman" w:cs="Times New Roman"/>
          <w:sz w:val="28"/>
          <w:szCs w:val="28"/>
        </w:rPr>
        <w:t xml:space="preserve"> </w:t>
      </w:r>
      <w:r w:rsidR="00142D0E">
        <w:rPr>
          <w:rFonts w:ascii="Times New Roman" w:hAnsi="Times New Roman" w:cs="Times New Roman"/>
          <w:sz w:val="28"/>
          <w:szCs w:val="28"/>
        </w:rPr>
        <w:t xml:space="preserve">иных </w:t>
      </w:r>
      <w:r w:rsidR="000F697A" w:rsidRPr="000F697A">
        <w:rPr>
          <w:rFonts w:ascii="Times New Roman" w:hAnsi="Times New Roman" w:cs="Times New Roman"/>
          <w:sz w:val="28"/>
          <w:szCs w:val="28"/>
        </w:rPr>
        <w:t>объектов</w:t>
      </w:r>
      <w:r w:rsidR="00142D0E">
        <w:rPr>
          <w:rFonts w:ascii="Times New Roman" w:hAnsi="Times New Roman" w:cs="Times New Roman"/>
          <w:sz w:val="28"/>
          <w:szCs w:val="28"/>
        </w:rPr>
        <w:t xml:space="preserve">, за исключением линий электроснабжения / линий связи  </w:t>
      </w:r>
      <w:r w:rsidR="000F697A" w:rsidRPr="000F697A">
        <w:rPr>
          <w:rFonts w:ascii="Times New Roman" w:hAnsi="Times New Roman" w:cs="Times New Roman"/>
          <w:sz w:val="28"/>
          <w:szCs w:val="28"/>
        </w:rPr>
        <w:t xml:space="preserve"> допускается только в случае наличия технической возможности, определяемой исходя из технического состояния опор, и при условии заключения договора на право размещения объектов на опорах наружного освещения</w:t>
      </w:r>
      <w:r w:rsidR="00424135">
        <w:rPr>
          <w:rFonts w:ascii="Times New Roman" w:hAnsi="Times New Roman" w:cs="Times New Roman"/>
          <w:sz w:val="28"/>
          <w:szCs w:val="28"/>
        </w:rPr>
        <w:t>, элементах контактной сети, своевременного внесения  соразмерной оплаты за такое размещение</w:t>
      </w:r>
      <w:r w:rsidR="000F697A" w:rsidRPr="000F69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97A" w:rsidRP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>- недопущение незаконного подвеса объектов на опорах наружного освещения</w:t>
      </w:r>
      <w:r w:rsidR="00424135">
        <w:rPr>
          <w:rFonts w:ascii="Times New Roman" w:hAnsi="Times New Roman" w:cs="Times New Roman"/>
          <w:sz w:val="28"/>
          <w:szCs w:val="28"/>
        </w:rPr>
        <w:t>, элементах контактной сети</w:t>
      </w:r>
      <w:r w:rsidR="000F697A" w:rsidRPr="000F697A">
        <w:rPr>
          <w:rFonts w:ascii="Times New Roman" w:hAnsi="Times New Roman" w:cs="Times New Roman"/>
          <w:sz w:val="28"/>
          <w:szCs w:val="28"/>
        </w:rPr>
        <w:t>;</w:t>
      </w:r>
    </w:p>
    <w:p w:rsidR="000F697A" w:rsidRP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>- обеспечение безопасной эксплуатации опор.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Описание иных способов решения проблемы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AA0EF2" w:rsidP="00AA0EF2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51">
        <w:rPr>
          <w:rFonts w:ascii="Times New Roman" w:hAnsi="Times New Roman" w:cs="Times New Roman"/>
          <w:sz w:val="28"/>
          <w:szCs w:val="28"/>
        </w:rPr>
        <w:t xml:space="preserve">Иные способы решения проблемы отсутствуют. </w:t>
      </w:r>
    </w:p>
    <w:p w:rsidR="00BE59B8" w:rsidRDefault="00BE59B8" w:rsidP="00AA0EF2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Обоснование выбора предлагаемого способа решения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AA0EF2" w:rsidP="00AA0EF2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Предлагаемый способ регулирования предусмотрен действующим законодательством.</w:t>
      </w:r>
    </w:p>
    <w:p w:rsidR="000C02BE" w:rsidRDefault="000C02BE" w:rsidP="000C02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02BE" w:rsidRDefault="000C02BE" w:rsidP="000C02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о предполагаемом способе решения проблемы отсутствует.</w:t>
      </w:r>
    </w:p>
    <w:p w:rsidR="006933C5" w:rsidRDefault="006933C5" w:rsidP="000C02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134C">
        <w:rPr>
          <w:rFonts w:ascii="Times New Roman" w:hAnsi="Times New Roman" w:cs="Times New Roman"/>
          <w:sz w:val="28"/>
          <w:szCs w:val="28"/>
        </w:rPr>
        <w:t xml:space="preserve">. Основные </w:t>
      </w:r>
      <w:r w:rsidRPr="00C50072">
        <w:rPr>
          <w:rFonts w:ascii="Times New Roman" w:hAnsi="Times New Roman" w:cs="Times New Roman"/>
          <w:sz w:val="28"/>
          <w:szCs w:val="28"/>
        </w:rPr>
        <w:t>группы</w:t>
      </w:r>
      <w:r w:rsidRPr="00B1134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и ин</w:t>
      </w:r>
      <w:r>
        <w:rPr>
          <w:rFonts w:ascii="Times New Roman" w:hAnsi="Times New Roman" w:cs="Times New Roman"/>
          <w:sz w:val="28"/>
          <w:szCs w:val="28"/>
        </w:rPr>
        <w:t>вестиционной</w:t>
      </w:r>
      <w:r w:rsidRPr="00B1134C">
        <w:rPr>
          <w:rFonts w:ascii="Times New Roman" w:hAnsi="Times New Roman" w:cs="Times New Roman"/>
          <w:sz w:val="28"/>
          <w:szCs w:val="28"/>
        </w:rPr>
        <w:t xml:space="preserve"> деятельности, иные заинтересованные лица,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 xml:space="preserve">включая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1134C">
        <w:rPr>
          <w:rFonts w:ascii="Times New Roman" w:hAnsi="Times New Roman" w:cs="Times New Roman"/>
          <w:sz w:val="28"/>
          <w:szCs w:val="28"/>
        </w:rPr>
        <w:t>, интересы которых будут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затронуты предлагаемым правовым регулированием,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.1.Описание группы субъектов предпринимательской и инвестиционной деятельности</w:t>
            </w:r>
            <w:r w:rsidR="00BA4B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B6E" w:rsidRDefault="00BA4B6E" w:rsidP="00C37B9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5.1.1. юридические лица, 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>использующие опоры для размещения линий (кабеля) связи;</w:t>
            </w:r>
          </w:p>
          <w:p w:rsidR="00C37B92" w:rsidRPr="00E46D5D" w:rsidRDefault="00C37B92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 субъекты предпринимательской деятельности, использующие опоры в целях осуществления электроснабжения своего объекта (как п</w:t>
            </w:r>
            <w:r w:rsidR="00A61BC0">
              <w:rPr>
                <w:rFonts w:ascii="Times New Roman" w:hAnsi="Times New Roman" w:cs="Times New Roman"/>
                <w:sz w:val="24"/>
                <w:szCs w:val="24"/>
              </w:rPr>
              <w:t>равило, НТО, банкоматы уличные)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Default="00C37B92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Pr="00745A8A" w:rsidRDefault="00424135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E59B8" w:rsidRPr="00E46D5D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.2.Описание иной группы участников отношений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 xml:space="preserve">: структурные подразделения администрации городского округа «Город Калининград» (КМИиЗР, КЭФИК, КГХ, КСП), МКУ «Калининградская служба заказчика», ГКУ  КО «Управление дорожного хозяйства Калининградской области», ГКУ КО «Безопасный город», 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 xml:space="preserve">ООО «Горсвет», 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>АО «Янтрарьэнерго»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, МКП «Калининград-ГорТранс»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45A8A" w:rsidRDefault="00424135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59B8" w:rsidRPr="00E46D5D" w:rsidTr="00B9329F">
        <w:trPr>
          <w:trHeight w:val="4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.3.Источники данных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02" w:rsidRPr="00E46D5D" w:rsidRDefault="00C37B9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«Город Калининград», МКУ «Калининградская служба заказчика»</w:t>
            </w:r>
          </w:p>
        </w:tc>
      </w:tr>
    </w:tbl>
    <w:p w:rsidR="00BE59B8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316F5">
        <w:rPr>
          <w:rFonts w:ascii="Times New Roman" w:hAnsi="Times New Roman" w:cs="Times New Roman"/>
          <w:sz w:val="28"/>
          <w:szCs w:val="28"/>
        </w:rPr>
        <w:t>. Новые обязанности</w:t>
      </w:r>
      <w:r>
        <w:rPr>
          <w:rFonts w:ascii="Times New Roman" w:hAnsi="Times New Roman" w:cs="Times New Roman"/>
          <w:sz w:val="28"/>
          <w:szCs w:val="28"/>
        </w:rPr>
        <w:t>, запреты</w:t>
      </w:r>
      <w:r w:rsidRPr="00A316F5">
        <w:rPr>
          <w:rFonts w:ascii="Times New Roman" w:hAnsi="Times New Roman" w:cs="Times New Roman"/>
          <w:sz w:val="28"/>
          <w:szCs w:val="28"/>
        </w:rPr>
        <w:t xml:space="preserve"> или ограничения для субъектов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инвестиционной</w:t>
      </w:r>
      <w:r w:rsidRPr="00A316F5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либо изменение содержания существующих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260"/>
        <w:gridCol w:w="3544"/>
      </w:tblGrid>
      <w:tr w:rsidR="00BE59B8" w:rsidRPr="00E46D5D" w:rsidTr="00FA2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.3.Порядок организации исполнения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</w:p>
        </w:tc>
      </w:tr>
      <w:tr w:rsidR="00BE59B8" w:rsidRPr="00E46D5D" w:rsidTr="00FA2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 юридические лица, использующие опоры для размещения линий (кабеля) связи;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 субъекты предпринимательской деятельности, использующие опоры в целях осуществления электроснабжения своего объекта (как правило, НТО, банкоматы уличные)</w:t>
            </w:r>
          </w:p>
          <w:p w:rsidR="00BE59B8" w:rsidRPr="00E46D5D" w:rsidRDefault="00BE59B8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7D" w:rsidRDefault="001B6E7D" w:rsidP="001B6E7D">
            <w:pPr>
              <w:pStyle w:val="ConsPlusNonformat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размещения линий электроснабжения / линий связи – обязанность получать заключение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о соответствии плана сети электроснабжения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линий связи сводному плану подземных коммуникаций и сооружений на территории ГО «Город Калининград»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оформления документов, необходимых для получения такого заключения;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E7D" w:rsidRDefault="001B6E7D" w:rsidP="001B6E7D">
            <w:pPr>
              <w:pStyle w:val="ConsPlusNonformat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получения согласия на право размещения объектов на опорах, </w:t>
            </w:r>
          </w:p>
          <w:p w:rsidR="001B6E7D" w:rsidRDefault="001B6E7D" w:rsidP="001B6E7D">
            <w:pPr>
              <w:pStyle w:val="ConsPlusNonformat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>обязанность размещения объектов в полном соответствии с техническими условиями на осуществление подвеса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C02" w:rsidRPr="00E46D5D" w:rsidRDefault="001B6E7D" w:rsidP="001B6E7D">
            <w:pPr>
              <w:pStyle w:val="ConsPlusNonformat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обязанность внесения платы за </w:t>
            </w:r>
            <w:r w:rsidR="0083386F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8338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на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находящемся в муниципальной собственности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FA2C02" w:rsidP="00FA2C0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размещают объекты на опорах наружного освещения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, элементах контактной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установленным порядком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 и на возмездной основе</w:t>
            </w:r>
            <w:r w:rsidR="00A61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385A">
        <w:rPr>
          <w:rFonts w:ascii="Times New Roman" w:hAnsi="Times New Roman" w:cs="Times New Roman"/>
          <w:sz w:val="28"/>
          <w:szCs w:val="28"/>
        </w:rPr>
        <w:t>. Оценка расходов субъектов предпринимательской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>и инвестиционной деятельности, связанных с необходимостью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>соблюдения установленных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  <w:r w:rsidRPr="000A385A">
        <w:rPr>
          <w:rFonts w:ascii="Times New Roman" w:hAnsi="Times New Roman" w:cs="Times New Roman"/>
          <w:sz w:val="28"/>
          <w:szCs w:val="28"/>
        </w:rPr>
        <w:t xml:space="preserve"> или ограничений либо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 xml:space="preserve">изменением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A385A">
        <w:rPr>
          <w:rFonts w:ascii="Times New Roman" w:hAnsi="Times New Roman" w:cs="Times New Roman"/>
          <w:sz w:val="28"/>
          <w:szCs w:val="28"/>
        </w:rPr>
        <w:t>содержания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  <w:r w:rsidRPr="000A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B8" w:rsidRPr="00C50072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E59B8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.3.Описание и оценка видов расходов</w:t>
            </w:r>
          </w:p>
        </w:tc>
      </w:tr>
      <w:tr w:rsidR="00745A8A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 юридические лица, использующие опоры для размещения линий (кабеля) связи;</w:t>
            </w:r>
          </w:p>
          <w:p w:rsidR="00745A8A" w:rsidRPr="00E46D5D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 субъекты предпринимательской деятельности, использующие опоры в целях осуществления электроснабжения своего объекта (как правило, НТО, банкоматы уличные)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Default="00A61BC0" w:rsidP="00424135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на опорах наружного освещения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E7D" w:rsidRPr="00E46D5D" w:rsidRDefault="001B6E7D" w:rsidP="001B6E7D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оформление документов, необходимых для получения заключения о соответствии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плана сети электроснабжения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E7D">
              <w:rPr>
                <w:rFonts w:ascii="Times New Roman" w:hAnsi="Times New Roman" w:cs="Times New Roman"/>
                <w:sz w:val="24"/>
                <w:szCs w:val="24"/>
              </w:rPr>
              <w:t>линий связи сводному плану подземных коммуникаций и сооружений на территории ГО «Город Калининград»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случае размещения линий электроснабжения / линий связи)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Pr="00E46D5D" w:rsidRDefault="00A61BC0" w:rsidP="00424135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прав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на опорах наружного освещения определяется в соответствии с методикой расчета платы за право размещения объектов на опорах наружного освещения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, утверждаемой решением городского Совета Калининграда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8631A" w:rsidRDefault="0028631A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4"/>
      <w:bookmarkEnd w:id="0"/>
    </w:p>
    <w:p w:rsidR="000C02BE" w:rsidRDefault="000C02BE" w:rsidP="000C02B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Источники данных:</w:t>
      </w:r>
    </w:p>
    <w:p w:rsidR="000C02BE" w:rsidRDefault="000C02BE" w:rsidP="000C02B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муниципального имущества и земельных ресурсов администрации</w:t>
      </w:r>
      <w:r w:rsidR="00C03CE8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02BE" w:rsidRDefault="000C02BE" w:rsidP="000C02B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архитектуры и строительства</w:t>
      </w:r>
      <w:r w:rsidR="00C03CE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</w:p>
    <w:p w:rsidR="000C02BE" w:rsidRDefault="000C02BE" w:rsidP="000C02B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2732">
        <w:rPr>
          <w:rFonts w:ascii="Times New Roman" w:hAnsi="Times New Roman" w:cs="Times New Roman"/>
          <w:sz w:val="28"/>
          <w:szCs w:val="28"/>
        </w:rPr>
        <w:t>. Новые функции, полномочия, обязанности и права</w:t>
      </w:r>
    </w:p>
    <w:p w:rsidR="00BE59B8" w:rsidRDefault="00BF3310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 а</w:t>
      </w:r>
      <w:r w:rsidR="00BE59B8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DC2732">
        <w:rPr>
          <w:rFonts w:ascii="Times New Roman" w:hAnsi="Times New Roman" w:cs="Times New Roman"/>
          <w:sz w:val="28"/>
          <w:szCs w:val="28"/>
        </w:rPr>
        <w:t xml:space="preserve">или сведения об их изменении,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732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Pr="00D959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2853"/>
        <w:gridCol w:w="2693"/>
        <w:gridCol w:w="2127"/>
      </w:tblGrid>
      <w:tr w:rsidR="004C13CE" w:rsidTr="00D128A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.Порядок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зменения трудозатрат и (или) потребностей в иных ресурсах</w:t>
            </w:r>
          </w:p>
        </w:tc>
      </w:tr>
      <w:tr w:rsidR="004C13CE" w:rsidTr="00D128A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5" w:rsidRDefault="00507DC2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Комитет муниципального имущества и земельных ресурсов</w:t>
            </w: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511E3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Pr="00507DC2" w:rsidRDefault="00511E35" w:rsidP="004C13C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Комитет архитектуры и строительства</w:t>
            </w:r>
            <w:r w:rsidR="00507DC2"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5" w:rsidRDefault="00507DC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Согласование размещения третьими лицами объектов на опорах наружного освещения, находящихся в собственности городского округа «Город Калининград» и не закрепленных на праве хозяйственного ведения или оперативного управления</w:t>
            </w:r>
          </w:p>
          <w:p w:rsidR="00511E35" w:rsidRDefault="00511E35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35" w:rsidRDefault="00511E35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решения вопроса </w:t>
            </w:r>
            <w:r w:rsidR="004C13CE">
              <w:rPr>
                <w:rFonts w:ascii="Times New Roman" w:hAnsi="Times New Roman" w:cs="Times New Roman"/>
                <w:sz w:val="24"/>
                <w:szCs w:val="24"/>
              </w:rPr>
              <w:t>о размещении на опорах сетей электроснабжения / линий связи необходимость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 w:rsidR="004C13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 о выдаче </w:t>
            </w:r>
            <w:r w:rsidR="004C13C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о соответствии </w:t>
            </w:r>
            <w:r w:rsidR="004C13CE" w:rsidRPr="001B6E7D">
              <w:rPr>
                <w:rFonts w:ascii="Times New Roman" w:hAnsi="Times New Roman" w:cs="Times New Roman"/>
                <w:sz w:val="24"/>
                <w:szCs w:val="24"/>
              </w:rPr>
              <w:t>плана сети электроснабжения</w:t>
            </w:r>
            <w:r w:rsidR="004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3CE" w:rsidRPr="001B6E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3CE" w:rsidRPr="001B6E7D">
              <w:rPr>
                <w:rFonts w:ascii="Times New Roman" w:hAnsi="Times New Roman" w:cs="Times New Roman"/>
                <w:sz w:val="24"/>
                <w:szCs w:val="24"/>
              </w:rPr>
              <w:t>линий связи сводному плану подземных коммуникаций и сооружений на территории ГО «Город Калининград»</w:t>
            </w:r>
          </w:p>
          <w:p w:rsidR="00BE59B8" w:rsidRPr="00507DC2" w:rsidRDefault="00507DC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Default="00507DC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объекто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в на опорах наружного освещения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на основании заключения уполномоченной организации</w:t>
            </w:r>
          </w:p>
          <w:p w:rsidR="004C13CE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Pr="00507DC2" w:rsidRDefault="004C13CE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порядке, предусмотренном Постановлением администрации городского округа «Город Калининград» №133 (в дейст. ред.)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Default="00393A0A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A0A">
              <w:rPr>
                <w:rFonts w:ascii="Times New Roman" w:hAnsi="Times New Roman" w:cs="Times New Roman"/>
                <w:sz w:val="24"/>
                <w:szCs w:val="24"/>
              </w:rPr>
              <w:t>Трудозатраты увеличатся</w:t>
            </w: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Незначительное увеличение</w:t>
            </w:r>
          </w:p>
          <w:p w:rsidR="004C13CE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CE" w:rsidRPr="00393A0A" w:rsidRDefault="004C13CE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9B8" w:rsidRPr="00C50072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D15D1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15D1F">
        <w:rPr>
          <w:rFonts w:ascii="Times New Roman" w:hAnsi="Times New Roman" w:cs="Times New Roman"/>
          <w:sz w:val="28"/>
          <w:szCs w:val="28"/>
        </w:rPr>
        <w:t>. Оценка соответствующих расходов (возможных поступлений)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5D1F">
        <w:rPr>
          <w:rFonts w:ascii="Times New Roman" w:hAnsi="Times New Roman" w:cs="Times New Roman"/>
          <w:sz w:val="28"/>
          <w:szCs w:val="28"/>
        </w:rPr>
        <w:t>бюджета городского округа «Город Калининград»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6933C5" w:rsidRDefault="006933C5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7"/>
        <w:gridCol w:w="2498"/>
        <w:gridCol w:w="2784"/>
        <w:gridCol w:w="2385"/>
      </w:tblGrid>
      <w:tr w:rsidR="00BE59B8" w:rsidRPr="00C50072" w:rsidTr="00424135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Наименование новых или изменяемых функций, полномочий, обязанностей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 и прав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9.3.Описание видов расходов (доходов) бюджета городского округа «Город Калининград»</w:t>
            </w: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9.4.Оценка расходов (возможных поступлений), тыс. руб.</w:t>
            </w:r>
          </w:p>
          <w:p w:rsidR="00BE59B8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(+ увеличение,</w:t>
            </w:r>
          </w:p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снижение)</w:t>
            </w:r>
          </w:p>
        </w:tc>
      </w:tr>
      <w:tr w:rsidR="00BE59B8" w:rsidRPr="00C50072" w:rsidTr="00424135">
        <w:trPr>
          <w:trHeight w:val="600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393A0A" w:rsidP="00393A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ежеквартальное платы от субъектов предпринимательской деятельности, заключивших договор 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на право размещения объектов на опорах наружного освещения, находящихс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 городского округа «Город Калининград»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4C13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  <w:r w:rsidR="00BF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424135">
        <w:trPr>
          <w:trHeight w:val="482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</w:t>
            </w:r>
          </w:p>
          <w:p w:rsidR="009F3967" w:rsidRPr="00C50072" w:rsidRDefault="009F3967" w:rsidP="000C02B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424135">
        <w:trPr>
          <w:trHeight w:val="632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</w:t>
            </w:r>
          </w:p>
          <w:p w:rsidR="009F3967" w:rsidRPr="00C50072" w:rsidRDefault="009F3967" w:rsidP="000C02B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424135" w:rsidP="001300C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A0A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</w:t>
            </w:r>
          </w:p>
        </w:tc>
      </w:tr>
      <w:tr w:rsidR="009F3967" w:rsidRPr="00C50072" w:rsidTr="00424135">
        <w:trPr>
          <w:trHeight w:val="391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0C02B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424135">
        <w:trPr>
          <w:trHeight w:val="382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0C02B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424135">
        <w:trPr>
          <w:trHeight w:val="385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0C02B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 xml:space="preserve">ожные поступления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4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B26B08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A0A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1"/>
      <w:bookmarkEnd w:id="1"/>
    </w:p>
    <w:p w:rsidR="00C03CE8" w:rsidRPr="003E36C9" w:rsidRDefault="00C03CE8" w:rsidP="00C03C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9.5. Иные сведения о расходах (доходах) бюджета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C03CE8" w:rsidRDefault="00C03CE8" w:rsidP="00C03CE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36C9">
        <w:rPr>
          <w:rFonts w:ascii="Times New Roman" w:hAnsi="Times New Roman" w:cs="Times New Roman"/>
          <w:sz w:val="28"/>
          <w:szCs w:val="28"/>
        </w:rPr>
        <w:t>9.6. Источники данных</w:t>
      </w:r>
      <w:r>
        <w:rPr>
          <w:rFonts w:ascii="Times New Roman" w:hAnsi="Times New Roman" w:cs="Times New Roman"/>
          <w:sz w:val="28"/>
          <w:szCs w:val="28"/>
        </w:rPr>
        <w:t>: комитет муниципального имущества и земельных ресурсов администрации городского округа «Город Калининград»,  МКУ «Калининградская служба заказчика».</w:t>
      </w:r>
    </w:p>
    <w:p w:rsidR="00C03CE8" w:rsidRDefault="00C03CE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A385A">
        <w:rPr>
          <w:rFonts w:ascii="Times New Roman" w:hAnsi="Times New Roman" w:cs="Times New Roman"/>
          <w:sz w:val="28"/>
          <w:szCs w:val="28"/>
        </w:rPr>
        <w:t>. Сведения о размещении уведомления, сроках</w:t>
      </w:r>
    </w:p>
    <w:p w:rsidR="00BE59B8" w:rsidRPr="000A385A" w:rsidRDefault="00E4698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BE59B8" w:rsidRPr="000A385A">
        <w:rPr>
          <w:rFonts w:ascii="Times New Roman" w:hAnsi="Times New Roman" w:cs="Times New Roman"/>
          <w:sz w:val="28"/>
          <w:szCs w:val="28"/>
        </w:rPr>
        <w:t>ставления предложений</w:t>
      </w:r>
      <w:r w:rsidR="00BE59B8">
        <w:rPr>
          <w:rFonts w:ascii="Times New Roman" w:hAnsi="Times New Roman" w:cs="Times New Roman"/>
          <w:sz w:val="28"/>
          <w:szCs w:val="28"/>
        </w:rPr>
        <w:t>,</w:t>
      </w:r>
      <w:r w:rsidR="00E94C40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0A385A">
        <w:rPr>
          <w:rFonts w:ascii="Times New Roman" w:hAnsi="Times New Roman" w:cs="Times New Roman"/>
          <w:sz w:val="28"/>
          <w:szCs w:val="28"/>
        </w:rPr>
        <w:t>лицах,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B08" w:rsidRDefault="00BE59B8" w:rsidP="00393A0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  <w:t>Полный электронный адрес размещения уведомления на официальном сайте администрации городского округа «Город Калининград» в сети Интернет</w:t>
      </w:r>
      <w:r w:rsidR="00B26B08">
        <w:rPr>
          <w:rFonts w:ascii="Times New Roman" w:hAnsi="Times New Roman" w:cs="Times New Roman"/>
          <w:sz w:val="28"/>
          <w:szCs w:val="28"/>
        </w:rPr>
        <w:t>:</w:t>
      </w:r>
    </w:p>
    <w:p w:rsidR="00E94C40" w:rsidRPr="00E94C40" w:rsidRDefault="00E94C40" w:rsidP="00393A0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94C40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Pr="00E94C40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4A339B" w:rsidRDefault="00BE59B8" w:rsidP="00E94C4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, в течение которого 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360BB9">
        <w:rPr>
          <w:rFonts w:ascii="Times New Roman" w:hAnsi="Times New Roman" w:cs="Times New Roman"/>
          <w:sz w:val="28"/>
          <w:szCs w:val="28"/>
        </w:rPr>
        <w:t>0</w:t>
      </w:r>
      <w:r w:rsidR="00C03C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</w:t>
      </w:r>
      <w:r w:rsidR="00C03CE8">
        <w:rPr>
          <w:rFonts w:ascii="Times New Roman" w:hAnsi="Times New Roman" w:cs="Times New Roman"/>
          <w:sz w:val="28"/>
          <w:szCs w:val="28"/>
        </w:rPr>
        <w:t>ноябр</w:t>
      </w:r>
      <w:r w:rsidR="00360BB9">
        <w:rPr>
          <w:rFonts w:ascii="Times New Roman" w:hAnsi="Times New Roman" w:cs="Times New Roman"/>
          <w:sz w:val="28"/>
          <w:szCs w:val="28"/>
        </w:rPr>
        <w:t>я 201</w:t>
      </w:r>
      <w:r w:rsidR="00424135">
        <w:rPr>
          <w:rFonts w:ascii="Times New Roman" w:hAnsi="Times New Roman" w:cs="Times New Roman"/>
          <w:sz w:val="28"/>
          <w:szCs w:val="28"/>
        </w:rPr>
        <w:t>8</w:t>
      </w:r>
      <w:r w:rsidR="00360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г., окончание</w:t>
      </w:r>
      <w:r w:rsidR="00C22B19">
        <w:rPr>
          <w:rFonts w:ascii="Times New Roman" w:hAnsi="Times New Roman" w:cs="Times New Roman"/>
          <w:sz w:val="28"/>
          <w:szCs w:val="28"/>
        </w:rPr>
        <w:t xml:space="preserve"> «</w:t>
      </w:r>
      <w:r w:rsidR="00C03CE8">
        <w:rPr>
          <w:rFonts w:ascii="Times New Roman" w:hAnsi="Times New Roman" w:cs="Times New Roman"/>
          <w:sz w:val="28"/>
          <w:szCs w:val="28"/>
        </w:rPr>
        <w:t>1</w:t>
      </w:r>
      <w:r w:rsidR="00393A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</w:t>
      </w:r>
      <w:r w:rsidR="00C03CE8">
        <w:rPr>
          <w:rFonts w:ascii="Times New Roman" w:hAnsi="Times New Roman" w:cs="Times New Roman"/>
          <w:sz w:val="28"/>
          <w:szCs w:val="28"/>
        </w:rPr>
        <w:t>ноябр</w:t>
      </w:r>
      <w:r w:rsidR="00C22B19">
        <w:rPr>
          <w:rFonts w:ascii="Times New Roman" w:hAnsi="Times New Roman" w:cs="Times New Roman"/>
          <w:sz w:val="28"/>
          <w:szCs w:val="28"/>
        </w:rPr>
        <w:t>я</w:t>
      </w:r>
      <w:r w:rsidR="00360BB9">
        <w:rPr>
          <w:rFonts w:ascii="Times New Roman" w:hAnsi="Times New Roman" w:cs="Times New Roman"/>
          <w:sz w:val="28"/>
          <w:szCs w:val="28"/>
        </w:rPr>
        <w:t xml:space="preserve"> 201</w:t>
      </w:r>
      <w:r w:rsidR="00C22B19">
        <w:rPr>
          <w:rFonts w:ascii="Times New Roman" w:hAnsi="Times New Roman" w:cs="Times New Roman"/>
          <w:sz w:val="28"/>
          <w:szCs w:val="28"/>
        </w:rPr>
        <w:t>8</w:t>
      </w:r>
      <w:r w:rsidR="00360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ab/>
        <w:t>Сведения об органах и организациях, извещенных о проведении публичных консультаций</w:t>
      </w:r>
      <w:r w:rsidR="0083386F">
        <w:rPr>
          <w:rFonts w:ascii="Times New Roman" w:hAnsi="Times New Roman" w:cs="Times New Roman"/>
          <w:sz w:val="28"/>
          <w:szCs w:val="28"/>
        </w:rPr>
        <w:t>:</w:t>
      </w:r>
    </w:p>
    <w:p w:rsidR="00B26B08" w:rsidRDefault="00B26B0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00CD" w:rsidRDefault="001300CD" w:rsidP="001300CD">
      <w:pPr>
        <w:pStyle w:val="a5"/>
        <w:snapToGrid w:val="0"/>
        <w:ind w:left="176" w:right="-3"/>
        <w:jc w:val="both"/>
        <w:rPr>
          <w:rFonts w:ascii="Times New Roman" w:hAnsi="Times New Roman" w:cs="Times New Roman"/>
          <w:sz w:val="28"/>
          <w:szCs w:val="28"/>
        </w:rPr>
      </w:pPr>
      <w:r w:rsidRPr="001300CD">
        <w:rPr>
          <w:rFonts w:ascii="Times New Roman" w:hAnsi="Times New Roman" w:cs="Times New Roman"/>
          <w:sz w:val="28"/>
          <w:szCs w:val="28"/>
        </w:rPr>
        <w:t>Общественный совет при главе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CD">
        <w:rPr>
          <w:rFonts w:ascii="Times New Roman" w:hAnsi="Times New Roman" w:cs="Times New Roman"/>
          <w:sz w:val="28"/>
          <w:szCs w:val="28"/>
        </w:rPr>
        <w:t>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,  Уполномоченный по защите прав предпринимателей в Калининградской области, МКУ «Калининградская служба заказчика», </w:t>
      </w:r>
      <w:r w:rsidR="00C22B19">
        <w:rPr>
          <w:rFonts w:ascii="Times New Roman" w:hAnsi="Times New Roman" w:cs="Times New Roman"/>
          <w:sz w:val="28"/>
          <w:szCs w:val="28"/>
        </w:rPr>
        <w:t>муниципальное казенное предприятие городского округа «Город Калининград» «Калининград-ГорТранс»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0CD" w:rsidRPr="001300CD" w:rsidRDefault="001300CD" w:rsidP="001300CD">
      <w:pPr>
        <w:pStyle w:val="a5"/>
        <w:snapToGrid w:val="0"/>
        <w:ind w:left="176"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E4698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ab/>
        <w:t>Сведения о лицах,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  <w:r w:rsidR="0083386F">
        <w:rPr>
          <w:rFonts w:ascii="Times New Roman" w:hAnsi="Times New Roman" w:cs="Times New Roman"/>
          <w:sz w:val="28"/>
          <w:szCs w:val="28"/>
        </w:rPr>
        <w:t>:</w:t>
      </w:r>
    </w:p>
    <w:p w:rsidR="001300CD" w:rsidRPr="004A339B" w:rsidRDefault="001300CD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i/>
          <w:iCs/>
        </w:rPr>
      </w:pPr>
    </w:p>
    <w:p w:rsidR="00BE59B8" w:rsidRPr="00F40801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>
        <w:rPr>
          <w:rFonts w:ascii="Times New Roman" w:hAnsi="Times New Roman" w:cs="Times New Roman"/>
          <w:sz w:val="28"/>
          <w:szCs w:val="28"/>
        </w:rPr>
        <w:tab/>
      </w:r>
      <w:r w:rsidRPr="00F40801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количестве замечаний и предложений, полученных в связи с размещением уведомления о проведении публичных консультаций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6097"/>
      </w:tblGrid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6933C5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C03CE8" w:rsidP="00C22B1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Количество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оненных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6933C5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BE59B8" w:rsidRDefault="00BE59B8" w:rsidP="00C03CE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>
        <w:rPr>
          <w:rFonts w:ascii="Times New Roman" w:hAnsi="Times New Roman" w:cs="Times New Roman"/>
          <w:sz w:val="28"/>
          <w:szCs w:val="28"/>
        </w:rPr>
        <w:tab/>
        <w:t>Иные сведения о размещении уведомления</w:t>
      </w:r>
    </w:p>
    <w:p w:rsidR="00C03CE8" w:rsidRPr="00C03CE8" w:rsidRDefault="00C03CE8" w:rsidP="00C03CE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BE59B8" w:rsidRPr="00C9496B" w:rsidRDefault="00BE59B8" w:rsidP="00BE59B8">
      <w:pPr>
        <w:pStyle w:val="ConsPlusNormal"/>
        <w:contextualSpacing/>
        <w:jc w:val="both"/>
      </w:pPr>
    </w:p>
    <w:p w:rsidR="00BE59B8" w:rsidRPr="009E0BB6" w:rsidRDefault="00BE59B8" w:rsidP="00C2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BB6">
        <w:rPr>
          <w:rFonts w:ascii="Times New Roman" w:hAnsi="Times New Roman" w:cs="Times New Roman"/>
          <w:sz w:val="28"/>
          <w:szCs w:val="28"/>
        </w:rPr>
        <w:t>Приложение:</w:t>
      </w:r>
      <w:r w:rsidR="001300CD">
        <w:rPr>
          <w:rFonts w:ascii="Times New Roman" w:hAnsi="Times New Roman" w:cs="Times New Roman"/>
          <w:sz w:val="28"/>
          <w:szCs w:val="28"/>
        </w:rPr>
        <w:t xml:space="preserve"> </w:t>
      </w:r>
      <w:r w:rsidR="006933C5">
        <w:rPr>
          <w:rFonts w:ascii="Times New Roman" w:hAnsi="Times New Roman" w:cs="Times New Roman"/>
          <w:sz w:val="28"/>
          <w:szCs w:val="28"/>
        </w:rPr>
        <w:t>сводка предложений по результатам проведения публичных консультаций.</w:t>
      </w: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B19" w:rsidRDefault="00C22B19" w:rsidP="00C22B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и.о. зам. главы администрации,</w:t>
      </w:r>
    </w:p>
    <w:p w:rsidR="00C22B19" w:rsidRDefault="00C22B19" w:rsidP="00C22B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председателя комитета муниципального</w:t>
      </w:r>
    </w:p>
    <w:p w:rsidR="00C22B19" w:rsidRDefault="00C22B19" w:rsidP="00C22B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имущества и земельных ресурсов                                                  А.А. Луконина</w:t>
      </w:r>
    </w:p>
    <w:p w:rsidR="00CF7485" w:rsidRDefault="00CF7485" w:rsidP="00C22B19">
      <w:pPr>
        <w:pStyle w:val="ConsPlusNormal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123" w:rsidRDefault="00A16123"/>
    <w:p w:rsidR="00C22B19" w:rsidRDefault="00C22B19"/>
    <w:p w:rsidR="00C22B19" w:rsidRDefault="00C22B19"/>
    <w:p w:rsidR="00C22B19" w:rsidRDefault="00C22B19"/>
    <w:p w:rsidR="00C22B19" w:rsidRDefault="00C22B19">
      <w:bookmarkStart w:id="2" w:name="_GoBack"/>
      <w:bookmarkEnd w:id="2"/>
    </w:p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/>
    <w:p w:rsidR="00C22B19" w:rsidRDefault="00C22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Левчук Ю.И.</w:t>
      </w:r>
    </w:p>
    <w:p w:rsidR="00C22B19" w:rsidRPr="00C22B19" w:rsidRDefault="00C22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923265</w:t>
      </w:r>
    </w:p>
    <w:sectPr w:rsidR="00C22B19" w:rsidRPr="00C22B19" w:rsidSect="00B9329F">
      <w:headerReference w:type="default" r:id="rId11"/>
      <w:pgSz w:w="11905" w:h="16838"/>
      <w:pgMar w:top="851" w:right="848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89" w:rsidRDefault="00FA1D89" w:rsidP="00BE59B8">
      <w:pPr>
        <w:spacing w:after="0" w:line="240" w:lineRule="auto"/>
      </w:pPr>
      <w:r>
        <w:separator/>
      </w:r>
    </w:p>
  </w:endnote>
  <w:endnote w:type="continuationSeparator" w:id="0">
    <w:p w:rsidR="00FA1D89" w:rsidRDefault="00FA1D89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89" w:rsidRDefault="00FA1D89" w:rsidP="00BE59B8">
      <w:pPr>
        <w:spacing w:after="0" w:line="240" w:lineRule="auto"/>
      </w:pPr>
      <w:r>
        <w:separator/>
      </w:r>
    </w:p>
  </w:footnote>
  <w:footnote w:type="continuationSeparator" w:id="0">
    <w:p w:rsidR="00FA1D89" w:rsidRDefault="00FA1D89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BC0" w:rsidRDefault="00A61BC0" w:rsidP="00B9329F">
        <w:pPr>
          <w:pStyle w:val="a5"/>
          <w:jc w:val="center"/>
        </w:pPr>
      </w:p>
      <w:p w:rsidR="00A61BC0" w:rsidRDefault="00A61BC0" w:rsidP="00B9329F">
        <w:pPr>
          <w:pStyle w:val="a5"/>
          <w:jc w:val="center"/>
        </w:pPr>
      </w:p>
      <w:p w:rsidR="00A61BC0" w:rsidRPr="00366C29" w:rsidRDefault="00A61BC0" w:rsidP="00B9329F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FA1D89">
          <w:rPr>
            <w:rFonts w:ascii="Times New Roman" w:hAnsi="Times New Roman" w:cs="Times New Roman"/>
            <w:noProof/>
          </w:rPr>
          <w:t>1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  <w:p w:rsidR="00A61BC0" w:rsidRDefault="00A61BC0" w:rsidP="00B932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912"/>
    <w:multiLevelType w:val="hybridMultilevel"/>
    <w:tmpl w:val="C7C2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5E0"/>
    <w:multiLevelType w:val="hybridMultilevel"/>
    <w:tmpl w:val="D60C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9B8"/>
    <w:rsid w:val="000519CF"/>
    <w:rsid w:val="00052ED8"/>
    <w:rsid w:val="00054911"/>
    <w:rsid w:val="000B6A02"/>
    <w:rsid w:val="000C02BE"/>
    <w:rsid w:val="000F697A"/>
    <w:rsid w:val="001300CD"/>
    <w:rsid w:val="00140498"/>
    <w:rsid w:val="00142D0E"/>
    <w:rsid w:val="00145342"/>
    <w:rsid w:val="00162CD1"/>
    <w:rsid w:val="001835D5"/>
    <w:rsid w:val="001B6E7D"/>
    <w:rsid w:val="001D120C"/>
    <w:rsid w:val="002424BA"/>
    <w:rsid w:val="002607EF"/>
    <w:rsid w:val="00265B3F"/>
    <w:rsid w:val="00280CCE"/>
    <w:rsid w:val="0028631A"/>
    <w:rsid w:val="00312B8F"/>
    <w:rsid w:val="00360BB9"/>
    <w:rsid w:val="003751BE"/>
    <w:rsid w:val="00384751"/>
    <w:rsid w:val="00393A0A"/>
    <w:rsid w:val="00395EEF"/>
    <w:rsid w:val="003E34E6"/>
    <w:rsid w:val="003F5722"/>
    <w:rsid w:val="00424135"/>
    <w:rsid w:val="004264BF"/>
    <w:rsid w:val="00441CB7"/>
    <w:rsid w:val="00471BB0"/>
    <w:rsid w:val="004A5696"/>
    <w:rsid w:val="004C13CE"/>
    <w:rsid w:val="004C6AB9"/>
    <w:rsid w:val="00507DC2"/>
    <w:rsid w:val="00511E35"/>
    <w:rsid w:val="0056577D"/>
    <w:rsid w:val="00581E87"/>
    <w:rsid w:val="006933C5"/>
    <w:rsid w:val="006A2BD6"/>
    <w:rsid w:val="006C447D"/>
    <w:rsid w:val="006C505F"/>
    <w:rsid w:val="006C6DC5"/>
    <w:rsid w:val="007102F1"/>
    <w:rsid w:val="00724A92"/>
    <w:rsid w:val="00744A05"/>
    <w:rsid w:val="00745A8A"/>
    <w:rsid w:val="00793377"/>
    <w:rsid w:val="0083386F"/>
    <w:rsid w:val="00877A1C"/>
    <w:rsid w:val="008800E3"/>
    <w:rsid w:val="0096458A"/>
    <w:rsid w:val="00983EA1"/>
    <w:rsid w:val="009F3967"/>
    <w:rsid w:val="00A16123"/>
    <w:rsid w:val="00A36098"/>
    <w:rsid w:val="00A61BC0"/>
    <w:rsid w:val="00A972E7"/>
    <w:rsid w:val="00AA0EF2"/>
    <w:rsid w:val="00AE62E8"/>
    <w:rsid w:val="00AF74BA"/>
    <w:rsid w:val="00B26B08"/>
    <w:rsid w:val="00B9329F"/>
    <w:rsid w:val="00B948A5"/>
    <w:rsid w:val="00BA4B6E"/>
    <w:rsid w:val="00BC1059"/>
    <w:rsid w:val="00BE59B8"/>
    <w:rsid w:val="00BF27E1"/>
    <w:rsid w:val="00BF3310"/>
    <w:rsid w:val="00C03CE8"/>
    <w:rsid w:val="00C22B19"/>
    <w:rsid w:val="00C2560B"/>
    <w:rsid w:val="00C37B92"/>
    <w:rsid w:val="00CF6AF5"/>
    <w:rsid w:val="00CF7485"/>
    <w:rsid w:val="00D128A4"/>
    <w:rsid w:val="00D502F2"/>
    <w:rsid w:val="00D74491"/>
    <w:rsid w:val="00D96081"/>
    <w:rsid w:val="00DC63FD"/>
    <w:rsid w:val="00DD61B0"/>
    <w:rsid w:val="00DF059D"/>
    <w:rsid w:val="00DF4E2A"/>
    <w:rsid w:val="00E46988"/>
    <w:rsid w:val="00E50277"/>
    <w:rsid w:val="00E94C40"/>
    <w:rsid w:val="00ED0797"/>
    <w:rsid w:val="00EE141B"/>
    <w:rsid w:val="00EE1E1C"/>
    <w:rsid w:val="00F01C08"/>
    <w:rsid w:val="00F2508D"/>
    <w:rsid w:val="00F2547E"/>
    <w:rsid w:val="00F62406"/>
    <w:rsid w:val="00F81A13"/>
    <w:rsid w:val="00F942F5"/>
    <w:rsid w:val="00FA1D89"/>
    <w:rsid w:val="00FA2C02"/>
    <w:rsid w:val="00FB206D"/>
    <w:rsid w:val="00FB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paragraph" w:customStyle="1" w:styleId="ConsPlusTitle">
    <w:name w:val="ConsPlusTitle"/>
    <w:uiPriority w:val="99"/>
    <w:rsid w:val="00A9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b">
    <w:name w:val="Hyperlink"/>
    <w:basedOn w:val="a0"/>
    <w:uiPriority w:val="99"/>
    <w:unhideWhenUsed/>
    <w:rsid w:val="00360BB9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58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vchuk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17EF-622E-40DC-9619-5DBB28FB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(наименование проекта муниципального нормативного правового акта </vt:lpstr>
      <vt:lpstr>городского округа «Город Калининград»)</vt:lpstr>
      <vt:lpstr/>
      <vt:lpstr>Период проведения публичных консультаций:</vt:lpstr>
      <vt:lpstr>начало «02» ноября 2018 г.,                              окончание «19» ноября 2</vt:lpstr>
      <vt:lpstr>10.2.	Период, в течение которого разработчиком принимались предложения в связи с</vt:lpstr>
      <vt:lpstr/>
      <vt:lpstr>начало «02» ноября 2018 г., окончание «19» ноября 2018 г.</vt:lpstr>
      <vt:lpstr/>
    </vt:vector>
  </TitlesOfParts>
  <Company/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Левчук Юлия Игоревна</cp:lastModifiedBy>
  <cp:revision>4</cp:revision>
  <cp:lastPrinted>2018-11-19T13:30:00Z</cp:lastPrinted>
  <dcterms:created xsi:type="dcterms:W3CDTF">2018-11-16T14:40:00Z</dcterms:created>
  <dcterms:modified xsi:type="dcterms:W3CDTF">2018-11-19T13:31:00Z</dcterms:modified>
</cp:coreProperties>
</file>