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15B4DB33" w14:textId="63DFD194" w:rsidR="00D036B1" w:rsidRPr="00D036B1" w:rsidRDefault="00F1017C" w:rsidP="00D036B1">
      <w:pPr>
        <w:autoSpaceDE w:val="0"/>
        <w:autoSpaceDN w:val="0"/>
        <w:adjustRightInd w:val="0"/>
        <w:ind w:firstLine="709"/>
        <w:jc w:val="both"/>
        <w:rPr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EB597A" w:rsidRPr="00EB597A">
        <w:rPr>
          <w:color w:val="000000"/>
          <w:szCs w:val="24"/>
        </w:rPr>
        <w:t>нежилое административное здание, расположенное по адре</w:t>
      </w:r>
      <w:r w:rsidR="00D036B1">
        <w:rPr>
          <w:color w:val="000000"/>
          <w:szCs w:val="24"/>
        </w:rPr>
        <w:t xml:space="preserve">су: Калининградская область, </w:t>
      </w:r>
      <w:bookmarkStart w:id="0" w:name="_Hlk204608934"/>
      <w:r w:rsidR="00D036B1" w:rsidRPr="00D036B1">
        <w:rPr>
          <w:color w:val="000000"/>
          <w:szCs w:val="24"/>
        </w:rPr>
        <w:t>городской округ «Город Калининград»</w:t>
      </w:r>
      <w:bookmarkEnd w:id="0"/>
      <w:r w:rsidR="00D036B1" w:rsidRPr="00D036B1">
        <w:rPr>
          <w:color w:val="000000"/>
          <w:szCs w:val="24"/>
        </w:rPr>
        <w:t>,</w:t>
      </w:r>
      <w:bookmarkStart w:id="1" w:name="_Hlk141947706"/>
      <w:r w:rsidR="00D036B1" w:rsidRPr="00D036B1">
        <w:rPr>
          <w:color w:val="000000"/>
          <w:szCs w:val="24"/>
        </w:rPr>
        <w:t xml:space="preserve"> ул. </w:t>
      </w:r>
      <w:bookmarkStart w:id="2" w:name="_Hlk185929124"/>
      <w:r w:rsidR="00D036B1" w:rsidRPr="00D036B1">
        <w:rPr>
          <w:color w:val="000000"/>
          <w:szCs w:val="24"/>
        </w:rPr>
        <w:t xml:space="preserve">Майора </w:t>
      </w:r>
      <w:proofErr w:type="spellStart"/>
      <w:r w:rsidR="00D036B1" w:rsidRPr="00D036B1">
        <w:rPr>
          <w:color w:val="000000"/>
          <w:szCs w:val="24"/>
        </w:rPr>
        <w:t>Козенкова</w:t>
      </w:r>
      <w:proofErr w:type="spellEnd"/>
      <w:r w:rsidR="00D036B1" w:rsidRPr="00D036B1">
        <w:rPr>
          <w:color w:val="000000"/>
          <w:szCs w:val="24"/>
        </w:rPr>
        <w:t>, д</w:t>
      </w:r>
      <w:bookmarkEnd w:id="1"/>
      <w:r w:rsidR="00D036B1" w:rsidRPr="00D036B1">
        <w:rPr>
          <w:color w:val="000000"/>
          <w:szCs w:val="24"/>
        </w:rPr>
        <w:t>ом 7</w:t>
      </w:r>
      <w:bookmarkEnd w:id="2"/>
      <w:r w:rsidR="005B01D0">
        <w:rPr>
          <w:color w:val="000000"/>
          <w:szCs w:val="24"/>
        </w:rPr>
        <w:t>.</w:t>
      </w:r>
    </w:p>
    <w:p w14:paraId="4F749FD0" w14:textId="4CD1D13A" w:rsidR="00F1017C" w:rsidRPr="00B567F9" w:rsidRDefault="00F1017C" w:rsidP="00A6320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02AD71B7" w14:textId="77777777" w:rsidR="00A6320B" w:rsidRDefault="00A6320B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/>
          <w:color w:val="000000"/>
          <w:szCs w:val="24"/>
        </w:rPr>
      </w:pPr>
    </w:p>
    <w:p w14:paraId="4823CCF9" w14:textId="731834C5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  <w:r w:rsidR="001A4B49">
        <w:rPr>
          <w:rFonts w:eastAsia="Calibri" w:cs="Times New Roman"/>
          <w:color w:val="000000"/>
          <w:szCs w:val="24"/>
        </w:rPr>
        <w:t>.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4FB7E5B2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EC79AD">
        <w:rPr>
          <w:rFonts w:cs="Times New Roman"/>
          <w:color w:val="000000" w:themeColor="text1"/>
          <w:szCs w:val="24"/>
        </w:rPr>
        <w:t>Дмитренко Т.С.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55F32E9A" w:rsidR="00C66C61" w:rsidRPr="00B567F9" w:rsidRDefault="00C66C61" w:rsidP="00F248DC">
      <w:pPr>
        <w:keepNext/>
        <w:keepLines/>
        <w:ind w:firstLine="708"/>
        <w:jc w:val="both"/>
        <w:rPr>
          <w:rFonts w:eastAsia="Calibri" w:cs="Times New Roman"/>
          <w:color w:val="000000"/>
          <w:szCs w:val="24"/>
        </w:rPr>
      </w:pPr>
      <w:r w:rsidRPr="00F248DC">
        <w:rPr>
          <w:rFonts w:eastAsia="Calibri" w:cs="Times New Roman"/>
          <w:color w:val="000000"/>
          <w:szCs w:val="24"/>
        </w:rPr>
        <w:t xml:space="preserve">- </w:t>
      </w:r>
      <w:r w:rsidR="00F248DC" w:rsidRPr="00F248DC">
        <w:rPr>
          <w:rFonts w:eastAsia="Calibri" w:cs="Times New Roman"/>
          <w:color w:val="000000"/>
          <w:szCs w:val="24"/>
        </w:rPr>
        <w:t xml:space="preserve">решением городского Совета депутатов Калининграда от 04.12.2024 № 223 </w:t>
      </w:r>
      <w:r w:rsidR="00F248DC">
        <w:rPr>
          <w:rFonts w:eastAsia="Calibri" w:cs="Times New Roman"/>
          <w:color w:val="000000"/>
          <w:szCs w:val="24"/>
        </w:rPr>
        <w:br/>
      </w:r>
      <w:r w:rsidR="00F248DC" w:rsidRPr="00F248DC">
        <w:rPr>
          <w:rFonts w:eastAsia="Calibri" w:cs="Times New Roman"/>
          <w:color w:val="000000"/>
          <w:szCs w:val="24"/>
        </w:rPr>
        <w:t>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2AA1CC23" w:rsidR="00FC2D05" w:rsidRPr="003D04BC" w:rsidRDefault="00FC2D05" w:rsidP="00F248DC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="00D036B1">
              <w:t>Р</w:t>
            </w:r>
            <w:r w:rsidR="00F248DC">
              <w:t>ешение городского Совета депутатов Калининграда от 04.12.2024 № 223 «Об утверждении Программы приватизации муниципального имущества городского округа «Город Калининград» на 2025 год» (с изменениями, внесенными решением городского Совета депутатов Калининграда от 24.09.2025 № 202);</w:t>
            </w:r>
          </w:p>
          <w:p w14:paraId="3526341E" w14:textId="404DF71A" w:rsidR="009E6AEB" w:rsidRPr="00B567F9" w:rsidRDefault="00FC2D05" w:rsidP="00EB597A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FA5B42">
              <w:rPr>
                <w:rFonts w:cs="Times New Roman"/>
                <w:szCs w:val="24"/>
              </w:rPr>
              <w:t>09</w:t>
            </w:r>
            <w:r w:rsidR="003F785F">
              <w:rPr>
                <w:rFonts w:cs="Times New Roman"/>
                <w:szCs w:val="24"/>
              </w:rPr>
              <w:t>.09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FA5B42">
              <w:rPr>
                <w:rFonts w:cs="Times New Roman"/>
                <w:szCs w:val="24"/>
              </w:rPr>
              <w:t>655</w:t>
            </w:r>
            <w:r w:rsidR="00D036B1">
              <w:rPr>
                <w:rFonts w:cs="Times New Roman"/>
                <w:szCs w:val="24"/>
              </w:rPr>
              <w:t>4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>«</w:t>
            </w:r>
            <w:r w:rsidR="00EB597A" w:rsidRPr="00EB597A">
              <w:rPr>
                <w:rFonts w:cs="Times New Roman"/>
                <w:szCs w:val="24"/>
              </w:rPr>
              <w:t xml:space="preserve">Об условиях приватизации муниципального </w:t>
            </w:r>
            <w:r w:rsidR="00D036B1" w:rsidRPr="00EB597A">
              <w:rPr>
                <w:rFonts w:cs="Times New Roman"/>
                <w:szCs w:val="24"/>
              </w:rPr>
              <w:t xml:space="preserve">имущества </w:t>
            </w:r>
            <w:r w:rsidR="00D036B1">
              <w:rPr>
                <w:rFonts w:cs="Times New Roman"/>
                <w:szCs w:val="24"/>
              </w:rPr>
              <w:t>по</w:t>
            </w:r>
            <w:r w:rsidR="00EB597A" w:rsidRPr="00EB597A">
              <w:rPr>
                <w:rFonts w:cs="Times New Roman"/>
                <w:szCs w:val="24"/>
              </w:rPr>
              <w:t xml:space="preserve"> адресу</w:t>
            </w:r>
            <w:r w:rsidR="00D036B1">
              <w:rPr>
                <w:rFonts w:cs="Times New Roman"/>
                <w:szCs w:val="24"/>
              </w:rPr>
              <w:t xml:space="preserve"> </w:t>
            </w:r>
            <w:r w:rsidR="00D036B1" w:rsidRPr="00D036B1">
              <w:rPr>
                <w:rFonts w:cs="Times New Roman"/>
                <w:szCs w:val="24"/>
              </w:rPr>
              <w:t>Калининградская обл., городской округ «Город Калининград», ул. Майора Козенкова, дом 7</w:t>
            </w:r>
            <w:r w:rsidR="00005F70">
              <w:rPr>
                <w:rFonts w:cs="Times New Roman"/>
                <w:szCs w:val="24"/>
              </w:rPr>
              <w:t>»</w:t>
            </w:r>
            <w:r w:rsidR="009E6AEB"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5BA5E5AD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EC79AD">
              <w:rPr>
                <w:rFonts w:cs="Times New Roman"/>
                <w:szCs w:val="24"/>
              </w:rPr>
              <w:t>Дмитренко Татьяна Сергеевна.</w:t>
            </w:r>
          </w:p>
          <w:p w14:paraId="7649892C" w14:textId="2520055C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</w:t>
            </w:r>
            <w:r w:rsidR="00EC79AD">
              <w:rPr>
                <w:rFonts w:cs="Times New Roman"/>
                <w:spacing w:val="-2"/>
                <w:szCs w:val="24"/>
              </w:rPr>
              <w:t>2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EC79AD">
              <w:rPr>
                <w:rFonts w:cs="Times New Roman"/>
                <w:spacing w:val="-2"/>
                <w:szCs w:val="24"/>
              </w:rPr>
              <w:t>62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1F4A32A9" w14:textId="3EE859F4" w:rsidR="00D036B1" w:rsidRDefault="00C66C61" w:rsidP="00D036B1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3" w:name="_Hlk150528078"/>
            <w:r w:rsidR="00005B16">
              <w:rPr>
                <w:rFonts w:cs="Times New Roman"/>
                <w:b/>
                <w:szCs w:val="24"/>
              </w:rPr>
              <w:t xml:space="preserve"> </w:t>
            </w:r>
            <w:r w:rsidR="00EB597A" w:rsidRPr="00EB597A">
              <w:rPr>
                <w:color w:val="000000"/>
                <w:szCs w:val="24"/>
              </w:rPr>
              <w:t xml:space="preserve">нежилое </w:t>
            </w:r>
            <w:r w:rsidR="00D036B1" w:rsidRPr="00D036B1">
              <w:rPr>
                <w:color w:val="000000"/>
                <w:szCs w:val="24"/>
              </w:rPr>
              <w:t>встроенное помещение</w:t>
            </w:r>
            <w:r w:rsidR="00D036B1">
              <w:rPr>
                <w:color w:val="000000"/>
                <w:szCs w:val="24"/>
              </w:rPr>
              <w:t>.</w:t>
            </w:r>
          </w:p>
          <w:p w14:paraId="417537E8" w14:textId="6D75220B" w:rsidR="00F1017C" w:rsidRPr="00D036B1" w:rsidRDefault="00C66C61" w:rsidP="00D036B1">
            <w:pPr>
              <w:jc w:val="both"/>
              <w:rPr>
                <w:color w:val="000000"/>
                <w:szCs w:val="24"/>
              </w:rPr>
            </w:pPr>
            <w:r w:rsidRPr="00B567F9">
              <w:rPr>
                <w:b/>
                <w:color w:val="000000" w:themeColor="text1"/>
              </w:rPr>
              <w:t>Характеристика имущества:</w:t>
            </w:r>
            <w:bookmarkStart w:id="4" w:name="_Hlk165907801"/>
            <w:bookmarkEnd w:id="3"/>
            <w:r w:rsidR="00D036B1" w:rsidRPr="00D036B1">
              <w:rPr>
                <w:rFonts w:cs="Times New Roman"/>
                <w:sz w:val="28"/>
                <w:szCs w:val="28"/>
              </w:rPr>
              <w:t xml:space="preserve"> </w:t>
            </w:r>
            <w:r w:rsidR="00D036B1" w:rsidRPr="00D036B1">
              <w:rPr>
                <w:color w:val="000000"/>
                <w:szCs w:val="24"/>
              </w:rPr>
              <w:t xml:space="preserve">нежилое встроенное помещение, расположенное по адресу Калининградская обл., городской округ «Город Калининград», ул. Майора Козенкова, дом 7 с кадастровым номером 39:15:140908:122, общей площадью 82,2 </w:t>
            </w:r>
            <w:bookmarkEnd w:id="4"/>
            <w:r w:rsidR="00AD47FE" w:rsidRPr="00D036B1">
              <w:rPr>
                <w:color w:val="000000"/>
                <w:szCs w:val="24"/>
              </w:rPr>
              <w:t>кв.</w:t>
            </w:r>
            <w:r w:rsidR="00AD47FE">
              <w:rPr>
                <w:color w:val="000000"/>
                <w:szCs w:val="24"/>
              </w:rPr>
              <w:t>м.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1E9E42F2" w14:textId="55BE058E" w:rsidR="00933EAF" w:rsidRPr="00B567F9" w:rsidRDefault="00933EAF" w:rsidP="00AD47FE">
            <w:pPr>
              <w:pStyle w:val="western"/>
              <w:jc w:val="both"/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 w:rsidR="00005F70">
              <w:t xml:space="preserve"> </w:t>
            </w:r>
            <w:bookmarkStart w:id="5" w:name="_Hlk167955582"/>
            <w:r w:rsidR="00D036B1" w:rsidRPr="00D036B1">
              <w:t>5 709 000 (пять миллионов семьсот девять тысяч) рублей</w:t>
            </w:r>
            <w:bookmarkEnd w:id="5"/>
            <w:r w:rsidR="00D036B1" w:rsidRPr="00D036B1">
              <w:t xml:space="preserve"> 00 копеек</w:t>
            </w:r>
            <w:r w:rsidR="00D036B1">
              <w:t xml:space="preserve">. </w:t>
            </w:r>
            <w:r w:rsidR="007F70BA">
              <w:t xml:space="preserve">НЦПИ сформирована </w:t>
            </w:r>
            <w:r w:rsidR="007F70BA" w:rsidRPr="00E54C99">
              <w:t xml:space="preserve">на основании отчета об </w:t>
            </w:r>
            <w:r w:rsidR="00CC5296">
              <w:t>определении рыночной стоимости</w:t>
            </w:r>
            <w:r w:rsidR="007F70BA" w:rsidRPr="00E54C99">
              <w:t xml:space="preserve"> № </w:t>
            </w:r>
            <w:r w:rsidR="00CC5296">
              <w:t>Х-56</w:t>
            </w:r>
            <w:r w:rsidR="00D036B1">
              <w:t>1</w:t>
            </w:r>
            <w:r w:rsidR="00CC5296">
              <w:t>/25</w:t>
            </w:r>
            <w:r w:rsidR="007F70BA">
              <w:t xml:space="preserve"> </w:t>
            </w:r>
            <w:r w:rsidR="007F70BA" w:rsidRPr="00E54C99">
              <w:t xml:space="preserve">от </w:t>
            </w:r>
            <w:r w:rsidR="00CC5296">
              <w:t>23</w:t>
            </w:r>
            <w:r w:rsidR="007F70BA" w:rsidRPr="00E54C99">
              <w:t>.</w:t>
            </w:r>
            <w:r w:rsidR="007F70BA">
              <w:t>0</w:t>
            </w:r>
            <w:r w:rsidR="00CC5296">
              <w:t>7</w:t>
            </w:r>
            <w:r w:rsidR="007F70BA" w:rsidRPr="00E54C99">
              <w:t>.202</w:t>
            </w:r>
            <w:r w:rsidR="007F70BA">
              <w:t>5</w:t>
            </w:r>
            <w:r w:rsidR="007F70BA" w:rsidRPr="00E54C99">
              <w:t xml:space="preserve">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5CC7E153" w:rsidR="00F1017C" w:rsidRPr="00A765EA" w:rsidRDefault="00A765EA" w:rsidP="00A765EA">
            <w:pPr>
              <w:pStyle w:val="western"/>
              <w:spacing w:after="0" w:afterAutospacing="0"/>
              <w:jc w:val="both"/>
            </w:pPr>
            <w:r w:rsidRPr="00A765EA">
              <w:t>2 854 500 (два миллиона восемьсот пятьдесят четыре тысячи пятьсот) рублей 00 копеек.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4F87A3DA" w14:textId="7A89C8C3" w:rsidR="00A765EA" w:rsidRPr="00A765EA" w:rsidRDefault="00A765EA" w:rsidP="00A765EA">
            <w:pPr>
              <w:tabs>
                <w:tab w:val="left" w:pos="993"/>
              </w:tabs>
              <w:jc w:val="both"/>
              <w:rPr>
                <w:rFonts w:cs="Times New Roman"/>
                <w:szCs w:val="24"/>
              </w:rPr>
            </w:pPr>
            <w:r w:rsidRPr="00A765EA">
              <w:rPr>
                <w:rFonts w:cs="Times New Roman"/>
                <w:szCs w:val="24"/>
              </w:rPr>
              <w:t>570 900 (пятьсот семьдесят тысяч девятьсот) рублей 00 копеек.</w:t>
            </w:r>
          </w:p>
          <w:p w14:paraId="168A6C5C" w14:textId="5D2F7E12" w:rsidR="006F43E6" w:rsidRPr="003F785F" w:rsidRDefault="006F43E6" w:rsidP="007B26F5">
            <w:pPr>
              <w:pStyle w:val="western"/>
              <w:spacing w:after="0" w:afterAutospacing="0"/>
              <w:rPr>
                <w:bCs/>
              </w:rPr>
            </w:pP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78A31C09" w:rsidR="006F43E6" w:rsidRPr="00005F70" w:rsidRDefault="009E6AEB" w:rsidP="00A765E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A765EA" w:rsidRPr="00A765EA">
              <w:rPr>
                <w:rFonts w:cs="Times New Roman"/>
                <w:szCs w:val="24"/>
              </w:rPr>
              <w:t>285 450 (двести восемьдесят пять тысяч четыреста пятьдесят) рублей 00 копеек</w:t>
            </w:r>
            <w:r w:rsidR="00A765EA">
              <w:rPr>
                <w:sz w:val="28"/>
                <w:szCs w:val="28"/>
              </w:rPr>
              <w:t>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6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6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7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7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10374F9E" w14:textId="3054D232" w:rsidR="00EB597A" w:rsidRPr="00A765EA" w:rsidRDefault="008E0C16" w:rsidP="00A765EA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A765EA" w:rsidRPr="00A765EA">
              <w:rPr>
                <w:rFonts w:cs="Times New Roman"/>
                <w:szCs w:val="24"/>
              </w:rPr>
              <w:t>570 900 (пятьсот сем</w:t>
            </w:r>
            <w:r w:rsidR="00A765EA">
              <w:rPr>
                <w:rFonts w:cs="Times New Roman"/>
                <w:szCs w:val="24"/>
              </w:rPr>
              <w:t>ьдесят тысяч девятьсот) рублей 00 копеек.</w:t>
            </w:r>
          </w:p>
          <w:p w14:paraId="6FEDDD40" w14:textId="1CE1744C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6C9C7C3A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</w:t>
            </w:r>
            <w:r w:rsidR="00870472">
              <w:rPr>
                <w:rFonts w:cs="Times New Roman"/>
                <w:b/>
                <w:bCs/>
                <w:szCs w:val="24"/>
              </w:rPr>
              <w:t>признания претендентов участниками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в соответствии с пунктом 1</w:t>
            </w:r>
            <w:r w:rsidR="00FA5B42">
              <w:rPr>
                <w:rFonts w:cs="Times New Roman"/>
                <w:b/>
                <w:bCs/>
                <w:szCs w:val="24"/>
              </w:rPr>
              <w:t>4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EC79AD">
              <w:rPr>
                <w:rFonts w:cs="Times New Roman"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EC79AD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65C04ED3" w:rsidR="00750EB0" w:rsidRPr="00C85FC3" w:rsidRDefault="00C85FC3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5</w:t>
            </w:r>
            <w:r w:rsidR="00BC3796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.</w:t>
            </w:r>
            <w:r w:rsidR="00AE5F34">
              <w:rPr>
                <w:rFonts w:eastAsia="Calibri" w:cs="Times New Roman"/>
                <w:iCs/>
                <w:color w:val="000000" w:themeColor="text1"/>
                <w:szCs w:val="24"/>
              </w:rPr>
              <w:t>10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.2025 с </w:t>
            </w:r>
            <w:r w:rsidR="004A574A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1</w:t>
            </w:r>
            <w:r w:rsidR="00AD47FE">
              <w:rPr>
                <w:rFonts w:eastAsia="Calibri" w:cs="Times New Roman"/>
                <w:iCs/>
                <w:color w:val="000000" w:themeColor="text1"/>
                <w:szCs w:val="24"/>
              </w:rPr>
              <w:t>6</w:t>
            </w:r>
            <w:r w:rsidR="00830FE9" w:rsidRPr="00C85FC3">
              <w:rPr>
                <w:rFonts w:eastAsia="Calibri" w:cs="Times New Roman"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60FA424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CA0DA95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</w:t>
            </w:r>
            <w:r w:rsidR="00B703CB">
              <w:rPr>
                <w:rFonts w:eastAsia="Calibri" w:cs="Times New Roman"/>
                <w:b/>
                <w:iCs/>
                <w:szCs w:val="24"/>
              </w:rPr>
              <w:t xml:space="preserve">признания претендентов 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>участник</w:t>
            </w:r>
            <w:r w:rsidR="00870472">
              <w:rPr>
                <w:rFonts w:eastAsia="Calibri" w:cs="Times New Roman"/>
                <w:b/>
                <w:iCs/>
                <w:szCs w:val="24"/>
              </w:rPr>
              <w:t>ами</w:t>
            </w: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: </w:t>
            </w:r>
          </w:p>
          <w:p w14:paraId="486C28FC" w14:textId="7964D689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</w:t>
            </w:r>
            <w:r w:rsidR="00AE5F34">
              <w:rPr>
                <w:rFonts w:eastAsia="Calibri" w:cs="Times New Roman"/>
                <w:iCs/>
                <w:szCs w:val="24"/>
              </w:rPr>
              <w:t>8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BA6B3E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3E847911" w:rsidR="00750EB0" w:rsidRPr="00EF7720" w:rsidRDefault="00C85FC3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20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</w:t>
            </w:r>
            <w:r w:rsidR="00AE5F34">
              <w:rPr>
                <w:rFonts w:eastAsia="Calibri" w:cs="Times New Roman"/>
                <w:iCs/>
                <w:szCs w:val="24"/>
              </w:rPr>
              <w:t>1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5EFBAB7C" w:rsidR="008E0C16" w:rsidRPr="004C2236" w:rsidRDefault="00750EB0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EF7720">
              <w:rPr>
                <w:rFonts w:eastAsia="Calibri" w:cs="Times New Roman"/>
                <w:iCs/>
                <w:szCs w:val="24"/>
              </w:rPr>
              <w:t>г. Калининград, пл. Победы 1, каб. 370,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br/>
            </w:r>
            <w:r w:rsidR="00C85FC3">
              <w:rPr>
                <w:rFonts w:eastAsia="Calibri" w:cs="Times New Roman"/>
                <w:iCs/>
                <w:szCs w:val="24"/>
              </w:rPr>
              <w:t>20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>.1</w:t>
            </w:r>
            <w:r w:rsidR="005027C4">
              <w:rPr>
                <w:rFonts w:eastAsia="Calibri" w:cs="Times New Roman"/>
                <w:iCs/>
                <w:szCs w:val="24"/>
              </w:rPr>
              <w:t>1</w:t>
            </w:r>
            <w:r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8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8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 Калининград, пл. Победы, д. 1, 5-й этаж, каб.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38FE9989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</w:t>
            </w:r>
            <w:r w:rsidR="006E2F8C">
              <w:rPr>
                <w:rFonts w:cs="Times New Roman"/>
                <w:szCs w:val="24"/>
              </w:rPr>
              <w:br/>
            </w:r>
            <w:r w:rsidR="008E0C16" w:rsidRPr="00B567F9">
              <w:rPr>
                <w:rFonts w:cs="Times New Roman"/>
                <w:szCs w:val="24"/>
              </w:rPr>
              <w:t>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</w:t>
            </w:r>
            <w:r w:rsidRPr="008263D6">
              <w:rPr>
                <w:rFonts w:cs="Times New Roman"/>
                <w:szCs w:val="24"/>
              </w:rPr>
              <w:lastRenderedPageBreak/>
              <w:t>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5D5DF794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hyperlink r:id="rId26" w:history="1">
              <w:r w:rsidR="008F323F" w:rsidRPr="008F323F">
                <w:rPr>
                  <w:rStyle w:val="a5"/>
                  <w:bCs/>
                </w:rPr>
                <w:t>www.rts-tender.ru</w:t>
              </w:r>
            </w:hyperlink>
            <w:r w:rsidR="004A0005" w:rsidRPr="008F323F">
              <w:rPr>
                <w:bCs/>
              </w:rPr>
              <w:t>,</w:t>
            </w:r>
            <w:r w:rsidR="008F323F">
              <w:t xml:space="preserve">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39CBC6C4" w14:textId="77777777" w:rsidR="008E0C16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  <w:p w14:paraId="235D3463" w14:textId="1D33B87E" w:rsidR="0052416E" w:rsidRPr="00B567F9" w:rsidRDefault="0052416E" w:rsidP="008E0C16">
            <w:pPr>
              <w:pStyle w:val="Default"/>
              <w:jc w:val="both"/>
            </w:pP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2DD16EDB" w14:textId="5D36DE85" w:rsidR="00EB597A" w:rsidRPr="00EB597A" w:rsidRDefault="00EB597A" w:rsidP="00EB597A">
            <w:pPr>
              <w:pStyle w:val="Default"/>
              <w:jc w:val="both"/>
              <w:rPr>
                <w:bCs/>
              </w:rPr>
            </w:pPr>
            <w:r w:rsidRPr="00EB597A">
              <w:rPr>
                <w:bCs/>
              </w:rPr>
              <w:t>Аукционы в электронн</w:t>
            </w:r>
            <w:r w:rsidR="00A765EA">
              <w:rPr>
                <w:bCs/>
              </w:rPr>
              <w:t xml:space="preserve">ой форме №№ </w:t>
            </w:r>
            <w:r w:rsidR="00403A78">
              <w:rPr>
                <w:bCs/>
              </w:rPr>
              <w:t>21000007890000000268</w:t>
            </w:r>
            <w:r w:rsidR="00A765EA">
              <w:rPr>
                <w:bCs/>
              </w:rPr>
              <w:t>, 21000007890000000291</w:t>
            </w:r>
            <w:r w:rsidRPr="00EB597A">
              <w:rPr>
                <w:bCs/>
              </w:rPr>
              <w:t>,</w:t>
            </w:r>
            <w:r w:rsidR="00A57522">
              <w:rPr>
                <w:bCs/>
              </w:rPr>
              <w:t xml:space="preserve"> 21000007890000000296,</w:t>
            </w:r>
            <w:r w:rsidRPr="00EB597A">
              <w:rPr>
                <w:bCs/>
              </w:rPr>
              <w:t xml:space="preserve"> </w:t>
            </w:r>
            <w:r w:rsidR="00A765EA">
              <w:rPr>
                <w:bCs/>
              </w:rPr>
              <w:t>21000007890000000339</w:t>
            </w:r>
            <w:r w:rsidRPr="00EB597A">
              <w:rPr>
                <w:bCs/>
              </w:rPr>
              <w:t xml:space="preserve"> не состоялись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6B01B4C7" w14:textId="5307544E" w:rsidR="00AE5F34" w:rsidRDefault="00EB597A" w:rsidP="00EB597A">
            <w:pPr>
              <w:pStyle w:val="Default"/>
              <w:jc w:val="both"/>
              <w:rPr>
                <w:bCs/>
              </w:rPr>
            </w:pPr>
            <w:r w:rsidRPr="00EB597A">
              <w:rPr>
                <w:bCs/>
              </w:rPr>
              <w:t>Продажа имущества посредством публичного предложения в электронн</w:t>
            </w:r>
            <w:r w:rsidR="002E2D7B">
              <w:rPr>
                <w:bCs/>
              </w:rPr>
              <w:t>ой форме №№ 21000007890000000218</w:t>
            </w:r>
            <w:r w:rsidRPr="00EB597A">
              <w:rPr>
                <w:bCs/>
              </w:rPr>
              <w:t>, 21000007890000000</w:t>
            </w:r>
            <w:r w:rsidR="00A765EA">
              <w:rPr>
                <w:bCs/>
              </w:rPr>
              <w:t>353</w:t>
            </w:r>
            <w:r w:rsidRPr="00EB597A">
              <w:rPr>
                <w:bCs/>
              </w:rPr>
              <w:t xml:space="preserve"> не состоялась (в связи с тем, что не было подано ни одной заявки на участие в продаже имущества посредством публичного предложения в электронной форме на основании пп.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41B1C17A" w14:textId="1F1DEB28" w:rsidR="00F33878" w:rsidRPr="00086B0C" w:rsidRDefault="00F33878" w:rsidP="00EB597A">
            <w:pPr>
              <w:pStyle w:val="Default"/>
              <w:jc w:val="both"/>
              <w:rPr>
                <w:bCs/>
              </w:rPr>
            </w:pP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9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9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 xml:space="preserve">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…….…..…….</w:t>
            </w:r>
            <w:proofErr w:type="gramEnd"/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…….…..</w:t>
            </w:r>
            <w:proofErr w:type="gramEnd"/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……№ 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, дата выдачи «</w:t>
            </w:r>
            <w:proofErr w:type="gramStart"/>
            <w:r w:rsidRPr="002D5C04">
              <w:rPr>
                <w:sz w:val="20"/>
                <w:szCs w:val="20"/>
              </w:rPr>
              <w:t>…....</w:t>
            </w:r>
            <w:proofErr w:type="gramEnd"/>
            <w:r w:rsidRPr="002D5C04">
              <w:rPr>
                <w:sz w:val="20"/>
                <w:szCs w:val="20"/>
              </w:rPr>
              <w:t>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</w:t>
            </w:r>
            <w:proofErr w:type="gramStart"/>
            <w:r w:rsidRPr="002D5C04">
              <w:rPr>
                <w:sz w:val="20"/>
                <w:szCs w:val="20"/>
              </w:rPr>
              <w:t xml:space="preserve"> ..</w:t>
            </w:r>
            <w:proofErr w:type="gramEnd"/>
            <w:r w:rsidRPr="002D5C04">
              <w:rPr>
                <w:sz w:val="20"/>
                <w:szCs w:val="20"/>
              </w:rPr>
              <w:t>…………………………………………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.…………………………………</w:t>
            </w:r>
            <w:proofErr w:type="gramStart"/>
            <w:r w:rsidRPr="002D5C04">
              <w:rPr>
                <w:sz w:val="20"/>
                <w:szCs w:val="20"/>
              </w:rPr>
              <w:t>…….</w:t>
            </w:r>
            <w:proofErr w:type="gramEnd"/>
            <w:r w:rsidRPr="002D5C04">
              <w:rPr>
                <w:sz w:val="20"/>
                <w:szCs w:val="20"/>
              </w:rPr>
              <w:t>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7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39F00E0D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B0A5638" w14:textId="77777777" w:rsidR="00A717E3" w:rsidRDefault="00A717E3" w:rsidP="00A717E3">
      <w:pPr>
        <w:spacing w:line="252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Согласие субъекта на обработку персональных данных на обработку его персональных данных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6C4DF108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679222CD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4957E482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</w:t>
      </w:r>
      <w:r w:rsidR="008F323F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F2573" w14:textId="77777777" w:rsidR="003866B5" w:rsidRDefault="003866B5" w:rsidP="00F1017C">
      <w:r>
        <w:separator/>
      </w:r>
    </w:p>
  </w:endnote>
  <w:endnote w:type="continuationSeparator" w:id="0">
    <w:p w14:paraId="4905CA8E" w14:textId="77777777" w:rsidR="003866B5" w:rsidRDefault="003866B5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101E" w14:textId="77777777" w:rsidR="003866B5" w:rsidRDefault="003866B5" w:rsidP="00F1017C">
      <w:r>
        <w:separator/>
      </w:r>
    </w:p>
  </w:footnote>
  <w:footnote w:type="continuationSeparator" w:id="0">
    <w:p w14:paraId="3C4D2FD7" w14:textId="77777777" w:rsidR="003866B5" w:rsidRDefault="003866B5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A57522">
          <w:rPr>
            <w:noProof/>
            <w:sz w:val="20"/>
            <w:szCs w:val="20"/>
          </w:rPr>
          <w:t>15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F9E375E"/>
    <w:multiLevelType w:val="hybridMultilevel"/>
    <w:tmpl w:val="F790E9B2"/>
    <w:lvl w:ilvl="0" w:tplc="F6584A4C">
      <w:start w:val="1"/>
      <w:numFmt w:val="decimal"/>
      <w:lvlText w:val="%1)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600992223">
    <w:abstractNumId w:val="0"/>
  </w:num>
  <w:num w:numId="2" w16cid:durableId="3165436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86049"/>
    <w:rsid w:val="00086B0C"/>
    <w:rsid w:val="000928BC"/>
    <w:rsid w:val="00093CDE"/>
    <w:rsid w:val="000A0589"/>
    <w:rsid w:val="000A082D"/>
    <w:rsid w:val="000B3626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A4B49"/>
    <w:rsid w:val="001B0885"/>
    <w:rsid w:val="001C7629"/>
    <w:rsid w:val="001D51E6"/>
    <w:rsid w:val="001E4ABF"/>
    <w:rsid w:val="001F2A18"/>
    <w:rsid w:val="00205B6A"/>
    <w:rsid w:val="00207B17"/>
    <w:rsid w:val="002153E2"/>
    <w:rsid w:val="002549B2"/>
    <w:rsid w:val="002556F0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E2D7B"/>
    <w:rsid w:val="002F4862"/>
    <w:rsid w:val="00310854"/>
    <w:rsid w:val="003415A6"/>
    <w:rsid w:val="00343791"/>
    <w:rsid w:val="003643B7"/>
    <w:rsid w:val="00366BC3"/>
    <w:rsid w:val="0038384C"/>
    <w:rsid w:val="003866B5"/>
    <w:rsid w:val="003A3593"/>
    <w:rsid w:val="003C40A0"/>
    <w:rsid w:val="003D04BC"/>
    <w:rsid w:val="003D1961"/>
    <w:rsid w:val="003D2895"/>
    <w:rsid w:val="003E014A"/>
    <w:rsid w:val="003F3FFF"/>
    <w:rsid w:val="003F785F"/>
    <w:rsid w:val="00403A78"/>
    <w:rsid w:val="00417AFA"/>
    <w:rsid w:val="00417B56"/>
    <w:rsid w:val="00446397"/>
    <w:rsid w:val="00452E08"/>
    <w:rsid w:val="004735FC"/>
    <w:rsid w:val="0047413C"/>
    <w:rsid w:val="00481483"/>
    <w:rsid w:val="0049200E"/>
    <w:rsid w:val="00493485"/>
    <w:rsid w:val="004A0005"/>
    <w:rsid w:val="004A07E8"/>
    <w:rsid w:val="004A1AF5"/>
    <w:rsid w:val="004A574A"/>
    <w:rsid w:val="004A5B1C"/>
    <w:rsid w:val="004A72EB"/>
    <w:rsid w:val="004C2236"/>
    <w:rsid w:val="004D5EDF"/>
    <w:rsid w:val="004D735F"/>
    <w:rsid w:val="004E3444"/>
    <w:rsid w:val="004E6507"/>
    <w:rsid w:val="005027C4"/>
    <w:rsid w:val="00503612"/>
    <w:rsid w:val="005134D8"/>
    <w:rsid w:val="0052416E"/>
    <w:rsid w:val="00545BB7"/>
    <w:rsid w:val="00550395"/>
    <w:rsid w:val="0055123D"/>
    <w:rsid w:val="005558A1"/>
    <w:rsid w:val="0057539A"/>
    <w:rsid w:val="00590174"/>
    <w:rsid w:val="005A5E9F"/>
    <w:rsid w:val="005B01D0"/>
    <w:rsid w:val="005C6FBD"/>
    <w:rsid w:val="005C7C53"/>
    <w:rsid w:val="005E68EE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E1599"/>
    <w:rsid w:val="006E2F8C"/>
    <w:rsid w:val="006F3853"/>
    <w:rsid w:val="006F43E6"/>
    <w:rsid w:val="00730755"/>
    <w:rsid w:val="00740608"/>
    <w:rsid w:val="00742FCC"/>
    <w:rsid w:val="00747973"/>
    <w:rsid w:val="00750EB0"/>
    <w:rsid w:val="007A4E86"/>
    <w:rsid w:val="007B26F5"/>
    <w:rsid w:val="007C1D0F"/>
    <w:rsid w:val="007E30E4"/>
    <w:rsid w:val="007E5C40"/>
    <w:rsid w:val="007F3350"/>
    <w:rsid w:val="007F55DA"/>
    <w:rsid w:val="007F70BA"/>
    <w:rsid w:val="0081077A"/>
    <w:rsid w:val="0081171A"/>
    <w:rsid w:val="00812250"/>
    <w:rsid w:val="008263D6"/>
    <w:rsid w:val="00830FE9"/>
    <w:rsid w:val="00854B2C"/>
    <w:rsid w:val="00870472"/>
    <w:rsid w:val="00885044"/>
    <w:rsid w:val="008957D5"/>
    <w:rsid w:val="008A0C8A"/>
    <w:rsid w:val="008A26EE"/>
    <w:rsid w:val="008B29A0"/>
    <w:rsid w:val="008B43FE"/>
    <w:rsid w:val="008E0C16"/>
    <w:rsid w:val="008F2293"/>
    <w:rsid w:val="008F323F"/>
    <w:rsid w:val="008F44A4"/>
    <w:rsid w:val="00907AC5"/>
    <w:rsid w:val="00907D95"/>
    <w:rsid w:val="00912996"/>
    <w:rsid w:val="00914CEC"/>
    <w:rsid w:val="00933EAF"/>
    <w:rsid w:val="0095000C"/>
    <w:rsid w:val="009563E5"/>
    <w:rsid w:val="00972ACF"/>
    <w:rsid w:val="009837E3"/>
    <w:rsid w:val="00984BD1"/>
    <w:rsid w:val="009863E6"/>
    <w:rsid w:val="009869B3"/>
    <w:rsid w:val="009A1E8E"/>
    <w:rsid w:val="009B21F1"/>
    <w:rsid w:val="009B2D6D"/>
    <w:rsid w:val="009C3D82"/>
    <w:rsid w:val="009C6AC1"/>
    <w:rsid w:val="009D78CB"/>
    <w:rsid w:val="009E6AEB"/>
    <w:rsid w:val="009F6C76"/>
    <w:rsid w:val="009F7484"/>
    <w:rsid w:val="00A00214"/>
    <w:rsid w:val="00A06106"/>
    <w:rsid w:val="00A33411"/>
    <w:rsid w:val="00A43B79"/>
    <w:rsid w:val="00A47BC7"/>
    <w:rsid w:val="00A57522"/>
    <w:rsid w:val="00A61891"/>
    <w:rsid w:val="00A6320B"/>
    <w:rsid w:val="00A662F8"/>
    <w:rsid w:val="00A717E3"/>
    <w:rsid w:val="00A72743"/>
    <w:rsid w:val="00A765EA"/>
    <w:rsid w:val="00AC2C28"/>
    <w:rsid w:val="00AD07AF"/>
    <w:rsid w:val="00AD336F"/>
    <w:rsid w:val="00AD47FE"/>
    <w:rsid w:val="00AE488A"/>
    <w:rsid w:val="00AE5F34"/>
    <w:rsid w:val="00B06B6C"/>
    <w:rsid w:val="00B06F8D"/>
    <w:rsid w:val="00B22BCD"/>
    <w:rsid w:val="00B47293"/>
    <w:rsid w:val="00B508B1"/>
    <w:rsid w:val="00B521C1"/>
    <w:rsid w:val="00B531E4"/>
    <w:rsid w:val="00B53ABE"/>
    <w:rsid w:val="00B567F9"/>
    <w:rsid w:val="00B653B0"/>
    <w:rsid w:val="00B703CB"/>
    <w:rsid w:val="00B81003"/>
    <w:rsid w:val="00B8309F"/>
    <w:rsid w:val="00B876F4"/>
    <w:rsid w:val="00B95F30"/>
    <w:rsid w:val="00BA6B3E"/>
    <w:rsid w:val="00BC3055"/>
    <w:rsid w:val="00BC3796"/>
    <w:rsid w:val="00BF60C0"/>
    <w:rsid w:val="00C204C9"/>
    <w:rsid w:val="00C342FA"/>
    <w:rsid w:val="00C66C61"/>
    <w:rsid w:val="00C67DD9"/>
    <w:rsid w:val="00C73667"/>
    <w:rsid w:val="00C80EA3"/>
    <w:rsid w:val="00C82412"/>
    <w:rsid w:val="00C85FC3"/>
    <w:rsid w:val="00CB437C"/>
    <w:rsid w:val="00CC5296"/>
    <w:rsid w:val="00CD017B"/>
    <w:rsid w:val="00CD326C"/>
    <w:rsid w:val="00CE11A9"/>
    <w:rsid w:val="00CF5BFC"/>
    <w:rsid w:val="00D036B1"/>
    <w:rsid w:val="00D050EB"/>
    <w:rsid w:val="00D240D5"/>
    <w:rsid w:val="00D27387"/>
    <w:rsid w:val="00D33BA4"/>
    <w:rsid w:val="00D75902"/>
    <w:rsid w:val="00D75FBE"/>
    <w:rsid w:val="00D84C9B"/>
    <w:rsid w:val="00DC2919"/>
    <w:rsid w:val="00DE39A0"/>
    <w:rsid w:val="00DE3BEB"/>
    <w:rsid w:val="00DE6E35"/>
    <w:rsid w:val="00DF24A9"/>
    <w:rsid w:val="00DF2C65"/>
    <w:rsid w:val="00E108FF"/>
    <w:rsid w:val="00E201DE"/>
    <w:rsid w:val="00E21D44"/>
    <w:rsid w:val="00E410D4"/>
    <w:rsid w:val="00E417FF"/>
    <w:rsid w:val="00E45341"/>
    <w:rsid w:val="00E47211"/>
    <w:rsid w:val="00E528A1"/>
    <w:rsid w:val="00E52B61"/>
    <w:rsid w:val="00E608F1"/>
    <w:rsid w:val="00E618FB"/>
    <w:rsid w:val="00E707B7"/>
    <w:rsid w:val="00E81BDD"/>
    <w:rsid w:val="00E86BD5"/>
    <w:rsid w:val="00E91430"/>
    <w:rsid w:val="00EB20E8"/>
    <w:rsid w:val="00EB597A"/>
    <w:rsid w:val="00EC79AD"/>
    <w:rsid w:val="00EE5C51"/>
    <w:rsid w:val="00EF1A9B"/>
    <w:rsid w:val="00EF7720"/>
    <w:rsid w:val="00F1017C"/>
    <w:rsid w:val="00F248DC"/>
    <w:rsid w:val="00F33878"/>
    <w:rsid w:val="00F33C89"/>
    <w:rsid w:val="00F5506B"/>
    <w:rsid w:val="00F575EC"/>
    <w:rsid w:val="00F65E2A"/>
    <w:rsid w:val="00F746FF"/>
    <w:rsid w:val="00F94944"/>
    <w:rsid w:val="00F97208"/>
    <w:rsid w:val="00FA1E82"/>
    <w:rsid w:val="00FA5B42"/>
    <w:rsid w:val="00FA5F0C"/>
    <w:rsid w:val="00FC1F75"/>
    <w:rsid w:val="00FC2D05"/>
    <w:rsid w:val="00FD2383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BF50AC62-F715-4B91-8DAC-1E50811A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3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9F20E-4E79-498F-8449-18FC161F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16</Pages>
  <Words>5211</Words>
  <Characters>29709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Дмитренко Татьяна Сергеевна</cp:lastModifiedBy>
  <cp:revision>147</cp:revision>
  <cp:lastPrinted>2025-10-14T13:05:00Z</cp:lastPrinted>
  <dcterms:created xsi:type="dcterms:W3CDTF">2024-09-24T10:44:00Z</dcterms:created>
  <dcterms:modified xsi:type="dcterms:W3CDTF">2025-10-15T09:42:00Z</dcterms:modified>
</cp:coreProperties>
</file>