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6204A5" w:rsidTr="00F36AF6">
        <w:tc>
          <w:tcPr>
            <w:tcW w:w="10206" w:type="dxa"/>
            <w:shd w:val="clear" w:color="auto" w:fill="auto"/>
          </w:tcPr>
          <w:p w:rsidR="0038692F" w:rsidRPr="0038692F" w:rsidRDefault="0038692F" w:rsidP="008B56CC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f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1989"/>
              <w:gridCol w:w="4394"/>
            </w:tblGrid>
            <w:tr w:rsidR="005E01B0" w:rsidTr="00EE1A99">
              <w:tc>
                <w:tcPr>
                  <w:tcW w:w="3715" w:type="dxa"/>
                </w:tcPr>
                <w:p w:rsidR="005E01B0" w:rsidRDefault="005E01B0" w:rsidP="005E01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«Согласовано»</w:t>
                  </w:r>
                </w:p>
                <w:p w:rsidR="005E01B0" w:rsidRPr="00430A8A" w:rsidRDefault="005E01B0" w:rsidP="005E01B0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Директор МКУ «</w:t>
                  </w:r>
                  <w:proofErr w:type="gramStart"/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КР</w:t>
                  </w:r>
                  <w:proofErr w:type="gramEnd"/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МКД»</w:t>
                  </w:r>
                </w:p>
                <w:p w:rsidR="00FD586C" w:rsidRDefault="00FD586C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AF0B90" w:rsidRDefault="00AF0B90" w:rsidP="00FD586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5E01B0" w:rsidP="00FD586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/____</w:t>
                  </w:r>
                  <w:r w:rsidR="00F63C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_____</w:t>
                  </w: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_/</w:t>
                  </w:r>
                  <w:r w:rsidRPr="00A05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С.Б. Русович</w:t>
                  </w:r>
                </w:p>
                <w:p w:rsidR="005E01B0" w:rsidRDefault="005E01B0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F63C79" w:rsidP="005C3349">
                  <w:pPr>
                    <w:spacing w:after="0"/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« 30 »     июня    </w:t>
                  </w:r>
                  <w:r w:rsidR="005E01B0"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2016 г.</w:t>
                  </w:r>
                </w:p>
              </w:tc>
              <w:tc>
                <w:tcPr>
                  <w:tcW w:w="1989" w:type="dxa"/>
                </w:tcPr>
                <w:p w:rsidR="005E01B0" w:rsidRDefault="005E01B0" w:rsidP="005C3349">
                  <w:pPr>
                    <w:spacing w:after="0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5C3349" w:rsidRDefault="005E01B0" w:rsidP="005C334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«Утверждаю»</w:t>
                  </w:r>
                </w:p>
                <w:p w:rsidR="00EE1A99" w:rsidRDefault="00EE1A99" w:rsidP="005C334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Председатель правления </w:t>
                  </w:r>
                </w:p>
                <w:p w:rsidR="005E01B0" w:rsidRPr="00430A8A" w:rsidRDefault="00EE1A99" w:rsidP="005C334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ТСН</w:t>
                  </w:r>
                  <w:r w:rsidR="00D649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«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ЮНИТИ</w:t>
                  </w:r>
                  <w:r w:rsid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</w:p>
                <w:p w:rsidR="005C3349" w:rsidRDefault="005C3349" w:rsidP="00C639FD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Pr="005C3349" w:rsidRDefault="00EE1A99" w:rsidP="00EE1A9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</w:t>
                  </w:r>
                  <w:r w:rsidR="005E01B0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/___</w:t>
                  </w:r>
                  <w:r w:rsidR="00F019E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</w:t>
                  </w:r>
                  <w:r w:rsidR="005E01B0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</w:t>
                  </w:r>
                  <w:r w:rsidR="00F63C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</w:t>
                  </w:r>
                  <w:r w:rsidR="005E01B0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__/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</w:t>
                  </w:r>
                  <w:r w:rsidR="005C3349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.Г.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Кравчен</w:t>
                  </w:r>
                  <w:r w:rsidR="005C3349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ко</w:t>
                  </w:r>
                </w:p>
                <w:p w:rsidR="005E01B0" w:rsidRDefault="005E01B0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F63C79" w:rsidP="005C3349">
                  <w:pPr>
                    <w:spacing w:after="0"/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« 30 »    июня    </w:t>
                  </w:r>
                  <w:r w:rsidR="005E01B0"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2016 г.</w:t>
                  </w:r>
                </w:p>
              </w:tc>
            </w:tr>
          </w:tbl>
          <w:p w:rsidR="006204A5" w:rsidRPr="00A97FCD" w:rsidRDefault="006204A5" w:rsidP="005E4111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 _______________</w:t>
            </w:r>
          </w:p>
        </w:tc>
      </w:tr>
    </w:tbl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F63C79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МКД </w:t>
      </w:r>
      <w:r w:rsidR="00800B4F" w:rsidRPr="00A05F78">
        <w:rPr>
          <w:rFonts w:ascii="Times New Roman" w:hAnsi="Times New Roman"/>
          <w:sz w:val="28"/>
          <w:szCs w:val="28"/>
        </w:rPr>
        <w:t>по ул.</w:t>
      </w:r>
      <w:r w:rsidR="00A05F78">
        <w:rPr>
          <w:rFonts w:ascii="Times New Roman" w:hAnsi="Times New Roman"/>
          <w:sz w:val="28"/>
          <w:szCs w:val="28"/>
        </w:rPr>
        <w:t xml:space="preserve"> </w:t>
      </w:r>
      <w:r w:rsidR="00EE1A99">
        <w:rPr>
          <w:rFonts w:ascii="Times New Roman" w:hAnsi="Times New Roman"/>
          <w:sz w:val="28"/>
          <w:szCs w:val="28"/>
        </w:rPr>
        <w:t>Багратиона</w:t>
      </w:r>
      <w:r w:rsidR="00A05F78" w:rsidRPr="00A05F78">
        <w:rPr>
          <w:rFonts w:ascii="Times New Roman" w:hAnsi="Times New Roman"/>
          <w:sz w:val="28"/>
          <w:szCs w:val="28"/>
        </w:rPr>
        <w:t xml:space="preserve">, </w:t>
      </w:r>
      <w:r w:rsidR="00EE1A99">
        <w:rPr>
          <w:rFonts w:ascii="Times New Roman" w:hAnsi="Times New Roman"/>
          <w:sz w:val="28"/>
          <w:szCs w:val="28"/>
        </w:rPr>
        <w:t>156-160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019EB" w:rsidRDefault="00800B4F" w:rsidP="005C3349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</w:p>
          <w:p w:rsidR="008B3910" w:rsidRPr="00A05F78" w:rsidRDefault="00545169" w:rsidP="00EE1A9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EE1A99">
              <w:rPr>
                <w:rFonts w:ascii="Times New Roman" w:hAnsi="Times New Roman"/>
                <w:b/>
                <w:sz w:val="28"/>
                <w:szCs w:val="28"/>
              </w:rPr>
              <w:t>Багратиона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E1A99">
              <w:rPr>
                <w:rFonts w:ascii="Times New Roman" w:hAnsi="Times New Roman"/>
                <w:b/>
                <w:sz w:val="28"/>
                <w:szCs w:val="28"/>
              </w:rPr>
              <w:t>156-160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019EB" w:rsidRDefault="00800B4F" w:rsidP="005C3349">
            <w:pPr>
              <w:pStyle w:val="ac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>Калининград,</w:t>
            </w:r>
          </w:p>
          <w:p w:rsidR="00A97FCD" w:rsidRPr="00EE1A99" w:rsidRDefault="00EE1A99" w:rsidP="005C334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E1A99">
              <w:rPr>
                <w:rFonts w:ascii="Times New Roman" w:hAnsi="Times New Roman"/>
                <w:sz w:val="28"/>
                <w:szCs w:val="28"/>
              </w:rPr>
              <w:t xml:space="preserve">ул. Багратиона, 156-160                       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EE1A99" w:rsidRDefault="00EE1A99" w:rsidP="00EE1A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E1A99">
              <w:rPr>
                <w:rFonts w:ascii="Times New Roman" w:hAnsi="Times New Roman"/>
                <w:b/>
                <w:sz w:val="28"/>
                <w:szCs w:val="28"/>
              </w:rPr>
              <w:t>ТСН «ЮНИТИ»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C3349" w:rsidRDefault="005C3349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349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5C3349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349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8B56CC" w:rsidRDefault="008B56CC" w:rsidP="008B56CC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8B56CC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EE1A9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EE1A99">
              <w:rPr>
                <w:rFonts w:ascii="Times New Roman" w:hAnsi="Times New Roman"/>
                <w:sz w:val="24"/>
                <w:szCs w:val="24"/>
              </w:rPr>
              <w:t>Багратиона, 156-160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F019EB" w:rsidRDefault="00F019EB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8B56CC" w:rsidRPr="008B56C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дней, </w:t>
            </w:r>
            <w:r w:rsidRPr="00EB4CCA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19EB" w:rsidRDefault="008B56CC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019EB" w:rsidRPr="00EB4CCA">
              <w:rPr>
                <w:rFonts w:ascii="Times New Roman" w:hAnsi="Times New Roman"/>
                <w:sz w:val="24"/>
                <w:szCs w:val="24"/>
              </w:rPr>
              <w:t xml:space="preserve"> календарных дней – производство работ </w:t>
            </w:r>
          </w:p>
          <w:p w:rsidR="009E4B77" w:rsidRPr="00207C60" w:rsidRDefault="00F019EB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CA">
              <w:rPr>
                <w:rFonts w:ascii="Times New Roman" w:hAnsi="Times New Roman"/>
                <w:sz w:val="24"/>
                <w:szCs w:val="24"/>
              </w:rPr>
              <w:t>15 календарных дней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CCA">
              <w:rPr>
                <w:rFonts w:ascii="Times New Roman" w:hAnsi="Times New Roman"/>
                <w:sz w:val="24"/>
                <w:szCs w:val="24"/>
              </w:rPr>
              <w:t>подготовка исполнительной документации (КС-2, КС-3)</w:t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EE1A99" w:rsidRPr="00861593" w:rsidRDefault="00EE1A99" w:rsidP="00EE1A99">
            <w:pPr>
              <w:pStyle w:val="ac"/>
              <w:numPr>
                <w:ilvl w:val="0"/>
                <w:numId w:val="12"/>
              </w:numPr>
              <w:spacing w:before="360" w:after="2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615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Конструкции дорожной одежды</w:t>
            </w:r>
          </w:p>
          <w:p w:rsidR="00EE1A99" w:rsidRDefault="00EE1A99" w:rsidP="00AF0B90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93DB99" wp14:editId="025C5D3E">
                  <wp:extent cx="6524685" cy="2781300"/>
                  <wp:effectExtent l="0" t="0" r="0" b="0"/>
                  <wp:docPr id="2" name="Рисунок 2" descr="\\10.1.1.154\Obmen\МКУ КР МКД\Оттел контроля\Циглер\асф по сущ. ос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.1.154\Obmen\МКУ КР МКД\Оттел контроля\Циглер\асф по сущ. ос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885" cy="278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A99" w:rsidRDefault="00EE1A99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B74C21" wp14:editId="0BF07A30">
                  <wp:extent cx="6315075" cy="2981156"/>
                  <wp:effectExtent l="0" t="0" r="0" b="0"/>
                  <wp:docPr id="1" name="Рисунок 1" descr="D:\МКУ =КР МКД=\Мой двор 2016\КонстрПроезда с ПолнымКорытом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КУ =КР МКД=\Мой двор 2016\КонстрПроезда с ПолнымКорытом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698" cy="298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A99" w:rsidRDefault="00EE1A99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A99" w:rsidRDefault="008B56CC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21CC5A" wp14:editId="56A951CA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A99" w:rsidRDefault="00EE1A99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6CC" w:rsidRDefault="008B56CC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6CC" w:rsidRDefault="00DB1254" w:rsidP="00AF0B90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8B56CC" w:rsidRDefault="00DB1254" w:rsidP="00AF0B90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537693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Start"/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</w:tc>
      </w:tr>
    </w:tbl>
    <w:p w:rsidR="009A5D84" w:rsidRDefault="008B56CC" w:rsidP="00861593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431" w:type="dxa"/>
        <w:jc w:val="center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93"/>
        <w:gridCol w:w="6237"/>
        <w:gridCol w:w="1625"/>
      </w:tblGrid>
      <w:tr w:rsidR="009A5D84" w:rsidRPr="00551A6B" w:rsidTr="00454C37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91FF2" w:rsidRPr="009B17D7" w:rsidTr="00454C37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91FF2" w:rsidRPr="009B17D7" w:rsidRDefault="00891FF2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600, фракция 10-20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91FF2" w:rsidRPr="00E1507B" w:rsidRDefault="00891FF2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FF2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91FF2" w:rsidRPr="009B17D7" w:rsidRDefault="00891FF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</w:t>
            </w:r>
            <w:r w:rsidR="00237DC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для строительных работ, марка 6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00, фракция 20-40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91FF2" w:rsidRPr="009B17D7" w:rsidRDefault="00891FF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6CC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B56CC" w:rsidRPr="009B17D7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B56CC" w:rsidRDefault="008B56CC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56CC" w:rsidRPr="00AF0B90" w:rsidRDefault="00AF0B90" w:rsidP="008B56CC">
            <w:pPr>
              <w:spacing w:before="40" w:after="4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56CC" w:rsidRPr="00AF0B90">
              <w:rPr>
                <w:rFonts w:ascii="Times New Roman" w:hAnsi="Times New Roman" w:cs="Times New Roman"/>
                <w:sz w:val="24"/>
                <w:szCs w:val="24"/>
              </w:rPr>
              <w:t>сфальтобетонная смесь пористая мелкозернистая, плотность каменных материалов 2,5-2,9 т/м3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B56CC" w:rsidRPr="009B17D7" w:rsidRDefault="008B56CC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6CC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B56CC" w:rsidRPr="009B17D7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B56CC" w:rsidRDefault="008B56CC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56CC" w:rsidRPr="00AF0B90" w:rsidRDefault="00AF0B90" w:rsidP="008B56C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56CC" w:rsidRPr="00AF0B90">
              <w:rPr>
                <w:rFonts w:ascii="Times New Roman" w:hAnsi="Times New Roman" w:cs="Times New Roman"/>
                <w:sz w:val="24"/>
                <w:szCs w:val="24"/>
              </w:rPr>
              <w:t xml:space="preserve">сфальтобетонная смесь плотная мелкозернистая типа АБВ, плотность каменных материалов 2,5-2,9 </w:t>
            </w:r>
            <w:bookmarkStart w:id="0" w:name="_GoBack"/>
            <w:bookmarkEnd w:id="0"/>
            <w:r w:rsidR="008B56CC" w:rsidRPr="00AF0B90">
              <w:rPr>
                <w:rFonts w:ascii="Times New Roman" w:hAnsi="Times New Roman" w:cs="Times New Roman"/>
                <w:sz w:val="24"/>
                <w:szCs w:val="24"/>
              </w:rPr>
              <w:t>т/м3,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B56CC" w:rsidRPr="009B17D7" w:rsidRDefault="008B56CC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Pr="00D26515" w:rsidRDefault="00676478" w:rsidP="009407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Default="00676478" w:rsidP="0094071E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B90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F0B90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F0B90" w:rsidRDefault="00AF0B90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Бортовой камень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0B90" w:rsidRPr="00AF0B90" w:rsidRDefault="00AF0B90" w:rsidP="0094071E">
            <w:pPr>
              <w:spacing w:before="40" w:after="4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AF0B90">
              <w:rPr>
                <w:rFonts w:ascii="Times New Roman" w:hAnsi="Times New Roman" w:cs="Times New Roman"/>
                <w:sz w:val="24"/>
                <w:szCs w:val="24"/>
              </w:rPr>
              <w:t>Камни бортовые БР 100.20.8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F0B90" w:rsidRPr="009B17D7" w:rsidRDefault="00AF0B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B90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F0B90" w:rsidRDefault="00AF0B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F0B90" w:rsidRDefault="00AF0B90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Бортовой камень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0B90" w:rsidRPr="00AF0B90" w:rsidRDefault="00AF0B90" w:rsidP="0094071E">
            <w:pPr>
              <w:spacing w:before="40" w:after="4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AF0B90">
              <w:rPr>
                <w:rFonts w:ascii="Times New Roman" w:hAnsi="Times New Roman" w:cs="Times New Roman"/>
                <w:sz w:val="24"/>
                <w:szCs w:val="24"/>
              </w:rPr>
              <w:t>Камни бортовые БР 100.30.15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F0B90" w:rsidRPr="009B17D7" w:rsidRDefault="00AF0B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8B56CC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861593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227805">
              <w:rPr>
                <w:rFonts w:ascii="Times New Roman" w:hAnsi="Times New Roman"/>
                <w:b/>
                <w:sz w:val="24"/>
                <w:szCs w:val="24"/>
              </w:rPr>
              <w:t>оставил</w:t>
            </w:r>
            <w:r w:rsidR="00227805"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AF0B90">
      <w:pgSz w:w="11906" w:h="16838"/>
      <w:pgMar w:top="142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6225"/>
    <w:rsid w:val="0019035E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37DCE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54C37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53ED"/>
    <w:rsid w:val="00591B4A"/>
    <w:rsid w:val="005B4503"/>
    <w:rsid w:val="005C3349"/>
    <w:rsid w:val="005D176F"/>
    <w:rsid w:val="005E01B0"/>
    <w:rsid w:val="005E4111"/>
    <w:rsid w:val="005F58BC"/>
    <w:rsid w:val="005F7F68"/>
    <w:rsid w:val="006018CB"/>
    <w:rsid w:val="006146FD"/>
    <w:rsid w:val="006204A5"/>
    <w:rsid w:val="00634514"/>
    <w:rsid w:val="0065218C"/>
    <w:rsid w:val="00666881"/>
    <w:rsid w:val="00676478"/>
    <w:rsid w:val="00695191"/>
    <w:rsid w:val="006A3B26"/>
    <w:rsid w:val="006B1EAC"/>
    <w:rsid w:val="006B6694"/>
    <w:rsid w:val="006D3081"/>
    <w:rsid w:val="006D4B93"/>
    <w:rsid w:val="006D75AF"/>
    <w:rsid w:val="006F4C42"/>
    <w:rsid w:val="00701946"/>
    <w:rsid w:val="00717BC8"/>
    <w:rsid w:val="00734DF7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61593"/>
    <w:rsid w:val="00881656"/>
    <w:rsid w:val="00891FF2"/>
    <w:rsid w:val="008A0572"/>
    <w:rsid w:val="008A781F"/>
    <w:rsid w:val="008B0B22"/>
    <w:rsid w:val="008B3910"/>
    <w:rsid w:val="008B56CC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C7939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B90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39FD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649AC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0ADD"/>
    <w:rsid w:val="00EA1F63"/>
    <w:rsid w:val="00EB1839"/>
    <w:rsid w:val="00EE1A99"/>
    <w:rsid w:val="00EE66E5"/>
    <w:rsid w:val="00EF5709"/>
    <w:rsid w:val="00F01814"/>
    <w:rsid w:val="00F019EB"/>
    <w:rsid w:val="00F35226"/>
    <w:rsid w:val="00F36AF6"/>
    <w:rsid w:val="00F550FB"/>
    <w:rsid w:val="00F57C08"/>
    <w:rsid w:val="00F61DA1"/>
    <w:rsid w:val="00F63C79"/>
    <w:rsid w:val="00F97F90"/>
    <w:rsid w:val="00FA0F4F"/>
    <w:rsid w:val="00FA595C"/>
    <w:rsid w:val="00FA6C61"/>
    <w:rsid w:val="00FB42B4"/>
    <w:rsid w:val="00FD586C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7462-FC95-4152-A7D4-FA6A4A8C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163</cp:revision>
  <cp:lastPrinted>2016-06-29T13:33:00Z</cp:lastPrinted>
  <dcterms:created xsi:type="dcterms:W3CDTF">2014-07-16T05:13:00Z</dcterms:created>
  <dcterms:modified xsi:type="dcterms:W3CDTF">2016-06-29T13:34:00Z</dcterms:modified>
</cp:coreProperties>
</file>