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F3" w:rsidRPr="00855874" w:rsidRDefault="000B69F3" w:rsidP="000B69F3">
      <w:pPr>
        <w:pStyle w:val="ConsPlusNormal"/>
        <w:ind w:firstLine="0"/>
        <w:jc w:val="center"/>
        <w:outlineLvl w:val="1"/>
        <w:rPr>
          <w:b/>
          <w:sz w:val="22"/>
          <w:szCs w:val="22"/>
        </w:rPr>
      </w:pPr>
      <w:r w:rsidRPr="00855874">
        <w:rPr>
          <w:b/>
          <w:sz w:val="22"/>
          <w:szCs w:val="22"/>
        </w:rPr>
        <w:t>Нежилые помещения муниципальной собственности городского округа «Город Калининград»</w:t>
      </w:r>
    </w:p>
    <w:p w:rsidR="000B69F3" w:rsidRPr="00855874" w:rsidRDefault="000B69F3" w:rsidP="000B69F3">
      <w:pPr>
        <w:pStyle w:val="ConsPlusNormal"/>
        <w:ind w:firstLine="0"/>
        <w:jc w:val="center"/>
        <w:outlineLvl w:val="1"/>
        <w:rPr>
          <w:sz w:val="22"/>
          <w:szCs w:val="22"/>
        </w:rPr>
      </w:pPr>
    </w:p>
    <w:p w:rsidR="000B69F3" w:rsidRPr="004E12C0" w:rsidRDefault="000B69F3" w:rsidP="000B69F3">
      <w:pPr>
        <w:pStyle w:val="ConsPlusNormal"/>
        <w:ind w:firstLine="540"/>
        <w:jc w:val="both"/>
        <w:outlineLvl w:val="1"/>
        <w:rPr>
          <w:rFonts w:ascii="Times New Roman" w:hAnsi="Times New Roman" w:cs="Times New Roman"/>
          <w:sz w:val="24"/>
          <w:szCs w:val="24"/>
        </w:rPr>
      </w:pPr>
      <w:r w:rsidRPr="004E12C0">
        <w:rPr>
          <w:rFonts w:ascii="Times New Roman" w:hAnsi="Times New Roman" w:cs="Times New Roman"/>
          <w:sz w:val="24"/>
          <w:szCs w:val="24"/>
        </w:rPr>
        <w:t xml:space="preserve">В соответствии со статьей 17.1. </w:t>
      </w:r>
      <w:proofErr w:type="gramStart"/>
      <w:r w:rsidRPr="004E12C0">
        <w:rPr>
          <w:rFonts w:ascii="Times New Roman" w:hAnsi="Times New Roman" w:cs="Times New Roman"/>
          <w:sz w:val="24"/>
          <w:szCs w:val="24"/>
        </w:rPr>
        <w:t>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в</w:t>
      </w:r>
      <w:proofErr w:type="gramEnd"/>
      <w:r w:rsidRPr="004E12C0">
        <w:rPr>
          <w:rFonts w:ascii="Times New Roman" w:hAnsi="Times New Roman" w:cs="Times New Roman"/>
          <w:sz w:val="24"/>
          <w:szCs w:val="24"/>
        </w:rPr>
        <w:t xml:space="preserve"> </w:t>
      </w:r>
      <w:proofErr w:type="gramStart"/>
      <w:r w:rsidRPr="004E12C0">
        <w:rPr>
          <w:rFonts w:ascii="Times New Roman" w:hAnsi="Times New Roman" w:cs="Times New Roman"/>
          <w:sz w:val="24"/>
          <w:szCs w:val="24"/>
        </w:rPr>
        <w:t>пунктах</w:t>
      </w:r>
      <w:proofErr w:type="gramEnd"/>
      <w:r w:rsidRPr="004E12C0">
        <w:rPr>
          <w:rFonts w:ascii="Times New Roman" w:hAnsi="Times New Roman" w:cs="Times New Roman"/>
          <w:sz w:val="24"/>
          <w:szCs w:val="24"/>
        </w:rPr>
        <w:t xml:space="preserve"> 1 – 13 указанного закона.</w:t>
      </w:r>
    </w:p>
    <w:p w:rsidR="000B69F3" w:rsidRPr="004E12C0" w:rsidRDefault="00FA1A4C" w:rsidP="000B69F3">
      <w:pPr>
        <w:spacing w:line="360" w:lineRule="auto"/>
        <w:jc w:val="both"/>
      </w:pPr>
      <w:r>
        <w:pict>
          <v:rect id="_x0000_i1025" style="width:0;height:1.5pt" o:hralign="center" o:hrstd="t" o:hr="t" fillcolor="#99a8ac" stroked="f"/>
        </w:pict>
      </w:r>
    </w:p>
    <w:p w:rsidR="000B69F3" w:rsidRPr="004E12C0" w:rsidRDefault="000B69F3" w:rsidP="000B69F3">
      <w:pPr>
        <w:pStyle w:val="ConsPlusNormal"/>
        <w:ind w:firstLine="540"/>
        <w:jc w:val="both"/>
        <w:outlineLvl w:val="1"/>
        <w:rPr>
          <w:rFonts w:ascii="Times New Roman" w:hAnsi="Times New Roman" w:cs="Times New Roman"/>
          <w:sz w:val="24"/>
          <w:szCs w:val="24"/>
        </w:rPr>
      </w:pPr>
      <w:r w:rsidRPr="004E12C0">
        <w:rPr>
          <w:rFonts w:ascii="Times New Roman" w:hAnsi="Times New Roman" w:cs="Times New Roman"/>
          <w:sz w:val="24"/>
          <w:szCs w:val="24"/>
        </w:rPr>
        <w:t xml:space="preserve">Торги </w:t>
      </w:r>
      <w:proofErr w:type="gramStart"/>
      <w:r w:rsidRPr="004E12C0">
        <w:rPr>
          <w:rFonts w:ascii="Times New Roman" w:hAnsi="Times New Roman" w:cs="Times New Roman"/>
          <w:sz w:val="24"/>
          <w:szCs w:val="24"/>
        </w:rPr>
        <w:t>на право заключение</w:t>
      </w:r>
      <w:proofErr w:type="gramEnd"/>
      <w:r w:rsidRPr="004E12C0">
        <w:rPr>
          <w:rFonts w:ascii="Times New Roman" w:hAnsi="Times New Roman" w:cs="Times New Roman"/>
          <w:sz w:val="24"/>
          <w:szCs w:val="24"/>
        </w:rPr>
        <w:t xml:space="preserve">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в соответствии с частью 5 статьи 17.1. </w:t>
      </w:r>
      <w:proofErr w:type="gramStart"/>
      <w:r w:rsidRPr="004E12C0">
        <w:rPr>
          <w:rFonts w:ascii="Times New Roman" w:hAnsi="Times New Roman" w:cs="Times New Roman"/>
          <w:sz w:val="24"/>
          <w:szCs w:val="24"/>
        </w:rPr>
        <w:t>Федерального закона от 26.07.2006 № 135-ФЗ «О защите конкуренции» проводятся в порядке, установленном Приказом ФАС России от 10.02.2010 № 67 и административным регламентом комитета муниципального имущества и земельных ресурсов администрации городского округа «Город Калининград» по предоставлению муниципальной услуги по заключению договора аренды на нежилые здания, помещения муниципальной собственности городского округа «Город Калининград» по результатам проведённого аукциона утвержденный постановлением администрации городского округа «Город</w:t>
      </w:r>
      <w:proofErr w:type="gramEnd"/>
      <w:r w:rsidRPr="004E12C0">
        <w:rPr>
          <w:rFonts w:ascii="Times New Roman" w:hAnsi="Times New Roman" w:cs="Times New Roman"/>
          <w:sz w:val="24"/>
          <w:szCs w:val="24"/>
        </w:rPr>
        <w:t xml:space="preserve"> Калининград» от 28.12. 2010 № 2379.</w:t>
      </w:r>
    </w:p>
    <w:p w:rsidR="000B69F3" w:rsidRPr="004E12C0" w:rsidRDefault="00FA1A4C" w:rsidP="000B69F3">
      <w:pPr>
        <w:spacing w:line="360" w:lineRule="auto"/>
        <w:jc w:val="both"/>
      </w:pPr>
      <w:r>
        <w:pict>
          <v:rect id="_x0000_i1026" style="width:0;height:1.5pt" o:hralign="center" o:hrstd="t" o:hr="t" fillcolor="#99a8ac" stroked="f"/>
        </w:pict>
      </w:r>
    </w:p>
    <w:p w:rsidR="000B69F3" w:rsidRPr="004E12C0" w:rsidRDefault="000B69F3" w:rsidP="000B69F3">
      <w:pPr>
        <w:pStyle w:val="ConsPlusNormal"/>
        <w:ind w:firstLine="540"/>
        <w:jc w:val="both"/>
        <w:rPr>
          <w:rFonts w:ascii="Times New Roman" w:hAnsi="Times New Roman" w:cs="Times New Roman"/>
          <w:sz w:val="24"/>
          <w:szCs w:val="24"/>
        </w:rPr>
      </w:pPr>
      <w:proofErr w:type="gramStart"/>
      <w:r w:rsidRPr="004E12C0">
        <w:rPr>
          <w:rFonts w:ascii="Times New Roman" w:hAnsi="Times New Roman" w:cs="Times New Roman"/>
          <w:sz w:val="24"/>
          <w:szCs w:val="24"/>
        </w:rPr>
        <w:t>Информация о проведении торгов на право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находящегося в собственности городского округа «Город Калининград» подлежит обязательному размещению на официальном сайте РФ в сети «Интернет» для размещения информации о проведении  конкурсов или аукционов на право заключения договоров, указанных в</w:t>
      </w:r>
      <w:proofErr w:type="gramEnd"/>
      <w:r w:rsidRPr="004E12C0">
        <w:rPr>
          <w:rFonts w:ascii="Times New Roman" w:hAnsi="Times New Roman" w:cs="Times New Roman"/>
          <w:sz w:val="24"/>
          <w:szCs w:val="24"/>
        </w:rPr>
        <w:t xml:space="preserve"> </w:t>
      </w:r>
      <w:proofErr w:type="gramStart"/>
      <w:r w:rsidRPr="004E12C0">
        <w:rPr>
          <w:rFonts w:ascii="Times New Roman" w:hAnsi="Times New Roman" w:cs="Times New Roman"/>
          <w:sz w:val="24"/>
          <w:szCs w:val="24"/>
        </w:rPr>
        <w:t xml:space="preserve">частях 1, 3 статьи 17.1 Федерального закона от 26.07.2006 № 135-ФЗ "О защите конкуренции" </w:t>
      </w:r>
      <w:hyperlink r:id="rId6" w:history="1">
        <w:r w:rsidRPr="004E12C0">
          <w:rPr>
            <w:rStyle w:val="a3"/>
            <w:rFonts w:ascii="Times New Roman" w:hAnsi="Times New Roman" w:cs="Times New Roman"/>
            <w:sz w:val="24"/>
            <w:szCs w:val="24"/>
          </w:rPr>
          <w:t>www.torgi.gov.ru</w:t>
        </w:r>
      </w:hyperlink>
      <w:r w:rsidRPr="004E12C0">
        <w:rPr>
          <w:rFonts w:ascii="Times New Roman" w:hAnsi="Times New Roman" w:cs="Times New Roman"/>
          <w:sz w:val="24"/>
          <w:szCs w:val="24"/>
        </w:rPr>
        <w:t xml:space="preserve">, а также размещается на официальном сайте городского округа «Город Калининград» в сети «Интернет» </w:t>
      </w:r>
      <w:hyperlink r:id="rId7" w:history="1">
        <w:r w:rsidRPr="004E12C0">
          <w:rPr>
            <w:rStyle w:val="a3"/>
            <w:rFonts w:ascii="Times New Roman" w:hAnsi="Times New Roman" w:cs="Times New Roman"/>
            <w:sz w:val="24"/>
            <w:szCs w:val="24"/>
            <w:lang w:val="en-US"/>
          </w:rPr>
          <w:t>www</w:t>
        </w:r>
        <w:r w:rsidRPr="004E12C0">
          <w:rPr>
            <w:rStyle w:val="a3"/>
            <w:rFonts w:ascii="Times New Roman" w:hAnsi="Times New Roman" w:cs="Times New Roman"/>
            <w:sz w:val="24"/>
            <w:szCs w:val="24"/>
          </w:rPr>
          <w:t>.</w:t>
        </w:r>
        <w:proofErr w:type="spellStart"/>
        <w:r w:rsidRPr="004E12C0">
          <w:rPr>
            <w:rStyle w:val="a3"/>
            <w:rFonts w:ascii="Times New Roman" w:hAnsi="Times New Roman" w:cs="Times New Roman"/>
            <w:sz w:val="24"/>
            <w:szCs w:val="24"/>
            <w:lang w:val="en-US"/>
          </w:rPr>
          <w:t>klgd</w:t>
        </w:r>
        <w:proofErr w:type="spellEnd"/>
        <w:r w:rsidRPr="004E12C0">
          <w:rPr>
            <w:rStyle w:val="a3"/>
            <w:rFonts w:ascii="Times New Roman" w:hAnsi="Times New Roman" w:cs="Times New Roman"/>
            <w:sz w:val="24"/>
            <w:szCs w:val="24"/>
          </w:rPr>
          <w:t>.</w:t>
        </w:r>
        <w:proofErr w:type="spellStart"/>
        <w:r w:rsidRPr="004E12C0">
          <w:rPr>
            <w:rStyle w:val="a3"/>
            <w:rFonts w:ascii="Times New Roman" w:hAnsi="Times New Roman" w:cs="Times New Roman"/>
            <w:sz w:val="24"/>
            <w:szCs w:val="24"/>
            <w:lang w:val="en-US"/>
          </w:rPr>
          <w:t>ru</w:t>
        </w:r>
        <w:proofErr w:type="spellEnd"/>
      </w:hyperlink>
      <w:r w:rsidRPr="004E12C0">
        <w:rPr>
          <w:rFonts w:ascii="Times New Roman" w:hAnsi="Times New Roman" w:cs="Times New Roman"/>
          <w:sz w:val="24"/>
          <w:szCs w:val="24"/>
        </w:rPr>
        <w:t xml:space="preserve"> в разделе </w:t>
      </w:r>
      <w:r w:rsidRPr="004E12C0">
        <w:rPr>
          <w:rFonts w:ascii="Times New Roman" w:hAnsi="Times New Roman" w:cs="Times New Roman"/>
          <w:color w:val="0000FF"/>
          <w:sz w:val="24"/>
          <w:szCs w:val="24"/>
          <w:u w:val="single"/>
        </w:rPr>
        <w:t>«Торги и котировки»</w:t>
      </w:r>
      <w:r w:rsidRPr="004E12C0">
        <w:rPr>
          <w:rFonts w:ascii="Times New Roman" w:hAnsi="Times New Roman" w:cs="Times New Roman"/>
          <w:sz w:val="24"/>
          <w:szCs w:val="24"/>
        </w:rPr>
        <w:t xml:space="preserve">, подразделе  </w:t>
      </w:r>
      <w:r w:rsidRPr="004E12C0">
        <w:rPr>
          <w:rFonts w:ascii="Times New Roman" w:hAnsi="Times New Roman" w:cs="Times New Roman"/>
          <w:color w:val="0000FF"/>
          <w:sz w:val="24"/>
          <w:szCs w:val="24"/>
          <w:u w:val="single"/>
        </w:rPr>
        <w:t>«Аукционы по продаже права аренды муниципального имущества»</w:t>
      </w:r>
      <w:r w:rsidRPr="004E12C0">
        <w:rPr>
          <w:rFonts w:ascii="Times New Roman" w:hAnsi="Times New Roman" w:cs="Times New Roman"/>
          <w:sz w:val="24"/>
          <w:szCs w:val="24"/>
        </w:rPr>
        <w:t xml:space="preserve"> и публикуется в газете «</w:t>
      </w:r>
      <w:r>
        <w:rPr>
          <w:rFonts w:ascii="Times New Roman" w:hAnsi="Times New Roman" w:cs="Times New Roman"/>
          <w:sz w:val="24"/>
          <w:szCs w:val="24"/>
        </w:rPr>
        <w:t>Гражданин</w:t>
      </w:r>
      <w:r w:rsidRPr="004E12C0">
        <w:rPr>
          <w:rFonts w:ascii="Times New Roman" w:hAnsi="Times New Roman" w:cs="Times New Roman"/>
          <w:sz w:val="24"/>
          <w:szCs w:val="24"/>
        </w:rPr>
        <w:t>»</w:t>
      </w:r>
      <w:proofErr w:type="gramEnd"/>
    </w:p>
    <w:p w:rsidR="000B69F3" w:rsidRPr="004E12C0" w:rsidRDefault="00FA1A4C" w:rsidP="000B69F3">
      <w:pPr>
        <w:jc w:val="both"/>
        <w:rPr>
          <w:lang w:val="en-US"/>
        </w:rPr>
      </w:pPr>
      <w:r>
        <w:pict>
          <v:rect id="_x0000_i1027" style="width:0;height:1.5pt" o:hralign="center" o:hrstd="t" o:hr="t" fillcolor="#99a8ac" stroked="f"/>
        </w:pict>
      </w:r>
    </w:p>
    <w:p w:rsidR="000B69F3" w:rsidRPr="004E12C0" w:rsidRDefault="000B69F3" w:rsidP="000B69F3">
      <w:pPr>
        <w:jc w:val="center"/>
      </w:pPr>
      <w:r w:rsidRPr="004E12C0">
        <w:t>Все свободные помещения включены в Прогнозный перечень муниципального имущества,</w:t>
      </w:r>
      <w:r w:rsidR="003617BC">
        <w:t xml:space="preserve"> подлежащего приватизации в 2015</w:t>
      </w:r>
      <w:r w:rsidRPr="004E12C0">
        <w:t xml:space="preserve"> году</w:t>
      </w:r>
    </w:p>
    <w:p w:rsidR="00521EC6" w:rsidRDefault="00521EC6" w:rsidP="000B69F3">
      <w:pPr>
        <w:jc w:val="center"/>
        <w:rPr>
          <w:b/>
        </w:rPr>
      </w:pPr>
    </w:p>
    <w:p w:rsidR="000B69F3" w:rsidRPr="004E12C0" w:rsidRDefault="000B69F3" w:rsidP="000B69F3">
      <w:pPr>
        <w:jc w:val="center"/>
        <w:rPr>
          <w:b/>
        </w:rPr>
      </w:pPr>
      <w:r w:rsidRPr="000C6D8A">
        <w:rPr>
          <w:b/>
        </w:rPr>
        <w:t>Список свободных нежилых помещений (зданий) муниципальной собственности городского округа «Город Калининград» находящиеся в казне и возможные к передаче в пользование т</w:t>
      </w:r>
      <w:r w:rsidR="00876B6D" w:rsidRPr="000C6D8A">
        <w:rPr>
          <w:b/>
        </w:rPr>
        <w:t>ретьим лицам</w:t>
      </w:r>
      <w:r w:rsidR="00876B6D">
        <w:rPr>
          <w:b/>
        </w:rPr>
        <w:t xml:space="preserve"> </w:t>
      </w:r>
    </w:p>
    <w:p w:rsidR="000B69F3" w:rsidRPr="00C87A04" w:rsidRDefault="000B69F3" w:rsidP="000B69F3">
      <w:pPr>
        <w:jc w:val="both"/>
        <w:rPr>
          <w:sz w:val="16"/>
          <w:szCs w:val="16"/>
        </w:rPr>
      </w:pPr>
    </w:p>
    <w:p w:rsidR="00521EC6" w:rsidRPr="001B0359" w:rsidRDefault="00521EC6" w:rsidP="000B69F3">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4012"/>
        <w:gridCol w:w="2051"/>
        <w:gridCol w:w="1250"/>
        <w:gridCol w:w="6523"/>
      </w:tblGrid>
      <w:tr w:rsidR="000B69F3" w:rsidRPr="00A52EA3" w:rsidTr="00AE5490">
        <w:trPr>
          <w:jc w:val="center"/>
        </w:trPr>
        <w:tc>
          <w:tcPr>
            <w:tcW w:w="950" w:type="dxa"/>
            <w:shd w:val="clear" w:color="auto" w:fill="auto"/>
            <w:vAlign w:val="center"/>
          </w:tcPr>
          <w:p w:rsidR="000B69F3" w:rsidRPr="00A52EA3" w:rsidRDefault="000B69F3" w:rsidP="007801D3">
            <w:pPr>
              <w:jc w:val="center"/>
              <w:rPr>
                <w:rFonts w:ascii="Arial" w:hAnsi="Arial" w:cs="Arial"/>
                <w:b/>
                <w:sz w:val="20"/>
                <w:szCs w:val="20"/>
              </w:rPr>
            </w:pPr>
            <w:r w:rsidRPr="00A52EA3">
              <w:rPr>
                <w:rFonts w:ascii="Arial" w:hAnsi="Arial" w:cs="Arial"/>
                <w:b/>
                <w:sz w:val="20"/>
                <w:szCs w:val="20"/>
              </w:rPr>
              <w:t>№</w:t>
            </w:r>
          </w:p>
          <w:p w:rsidR="000B69F3" w:rsidRPr="00A52EA3" w:rsidRDefault="000B69F3" w:rsidP="007801D3">
            <w:pPr>
              <w:jc w:val="center"/>
              <w:rPr>
                <w:rFonts w:ascii="Arial" w:hAnsi="Arial" w:cs="Arial"/>
                <w:b/>
                <w:sz w:val="20"/>
                <w:szCs w:val="20"/>
              </w:rPr>
            </w:pPr>
            <w:proofErr w:type="gramStart"/>
            <w:r w:rsidRPr="00A52EA3">
              <w:rPr>
                <w:rFonts w:ascii="Arial" w:hAnsi="Arial" w:cs="Arial"/>
                <w:b/>
                <w:sz w:val="20"/>
                <w:szCs w:val="20"/>
              </w:rPr>
              <w:t>п</w:t>
            </w:r>
            <w:proofErr w:type="gramEnd"/>
            <w:r w:rsidRPr="00A52EA3">
              <w:rPr>
                <w:rFonts w:ascii="Arial" w:hAnsi="Arial" w:cs="Arial"/>
                <w:b/>
                <w:sz w:val="20"/>
                <w:szCs w:val="20"/>
              </w:rPr>
              <w:t>/п</w:t>
            </w:r>
          </w:p>
        </w:tc>
        <w:tc>
          <w:tcPr>
            <w:tcW w:w="4012" w:type="dxa"/>
            <w:shd w:val="clear" w:color="auto" w:fill="auto"/>
            <w:vAlign w:val="center"/>
          </w:tcPr>
          <w:p w:rsidR="000B69F3" w:rsidRPr="00A52EA3" w:rsidRDefault="000B69F3" w:rsidP="007801D3">
            <w:pPr>
              <w:jc w:val="center"/>
              <w:rPr>
                <w:rFonts w:ascii="Arial" w:hAnsi="Arial" w:cs="Arial"/>
                <w:b/>
                <w:sz w:val="28"/>
                <w:szCs w:val="28"/>
              </w:rPr>
            </w:pPr>
            <w:r w:rsidRPr="00A52EA3">
              <w:rPr>
                <w:rFonts w:ascii="Arial" w:hAnsi="Arial" w:cs="Arial"/>
                <w:b/>
                <w:sz w:val="28"/>
                <w:szCs w:val="28"/>
              </w:rPr>
              <w:t>Адрес объекта</w:t>
            </w:r>
          </w:p>
        </w:tc>
        <w:tc>
          <w:tcPr>
            <w:tcW w:w="2051" w:type="dxa"/>
            <w:shd w:val="clear" w:color="auto" w:fill="auto"/>
            <w:vAlign w:val="center"/>
          </w:tcPr>
          <w:p w:rsidR="000B69F3" w:rsidRPr="00A52EA3" w:rsidRDefault="000B69F3" w:rsidP="007801D3">
            <w:pPr>
              <w:jc w:val="center"/>
              <w:rPr>
                <w:rFonts w:ascii="Arial" w:hAnsi="Arial" w:cs="Arial"/>
                <w:b/>
                <w:sz w:val="28"/>
                <w:szCs w:val="28"/>
              </w:rPr>
            </w:pPr>
            <w:r w:rsidRPr="00A52EA3">
              <w:rPr>
                <w:rFonts w:ascii="Arial" w:hAnsi="Arial" w:cs="Arial"/>
                <w:b/>
                <w:sz w:val="28"/>
                <w:szCs w:val="28"/>
              </w:rPr>
              <w:t>Этаж</w:t>
            </w:r>
          </w:p>
        </w:tc>
        <w:tc>
          <w:tcPr>
            <w:tcW w:w="1250" w:type="dxa"/>
            <w:shd w:val="clear" w:color="auto" w:fill="auto"/>
            <w:vAlign w:val="center"/>
          </w:tcPr>
          <w:p w:rsidR="000B69F3" w:rsidRPr="00A52EA3" w:rsidRDefault="000B69F3" w:rsidP="007801D3">
            <w:pPr>
              <w:jc w:val="center"/>
              <w:rPr>
                <w:rFonts w:ascii="Arial" w:hAnsi="Arial" w:cs="Arial"/>
                <w:b/>
                <w:sz w:val="20"/>
                <w:szCs w:val="20"/>
              </w:rPr>
            </w:pPr>
            <w:r w:rsidRPr="00A52EA3">
              <w:rPr>
                <w:rFonts w:ascii="Arial" w:hAnsi="Arial" w:cs="Arial"/>
                <w:b/>
                <w:sz w:val="20"/>
                <w:szCs w:val="20"/>
              </w:rPr>
              <w:t>Площадь</w:t>
            </w:r>
          </w:p>
          <w:p w:rsidR="000B69F3" w:rsidRPr="00A52EA3" w:rsidRDefault="000B69F3" w:rsidP="007801D3">
            <w:pPr>
              <w:jc w:val="center"/>
              <w:rPr>
                <w:rFonts w:ascii="Arial" w:hAnsi="Arial" w:cs="Arial"/>
                <w:b/>
                <w:sz w:val="20"/>
                <w:szCs w:val="20"/>
              </w:rPr>
            </w:pPr>
            <w:r w:rsidRPr="00A52EA3">
              <w:rPr>
                <w:rFonts w:ascii="Arial" w:hAnsi="Arial" w:cs="Arial"/>
                <w:b/>
                <w:sz w:val="20"/>
                <w:szCs w:val="20"/>
              </w:rPr>
              <w:t>(</w:t>
            </w:r>
            <w:proofErr w:type="spellStart"/>
            <w:r w:rsidRPr="00A52EA3">
              <w:rPr>
                <w:rFonts w:ascii="Arial" w:hAnsi="Arial" w:cs="Arial"/>
                <w:b/>
                <w:sz w:val="20"/>
                <w:szCs w:val="20"/>
              </w:rPr>
              <w:t>кв.м</w:t>
            </w:r>
            <w:proofErr w:type="spellEnd"/>
            <w:r w:rsidRPr="00A52EA3">
              <w:rPr>
                <w:rFonts w:ascii="Arial" w:hAnsi="Arial" w:cs="Arial"/>
                <w:b/>
                <w:sz w:val="20"/>
                <w:szCs w:val="20"/>
              </w:rPr>
              <w:t>.)</w:t>
            </w:r>
          </w:p>
        </w:tc>
        <w:tc>
          <w:tcPr>
            <w:tcW w:w="6523" w:type="dxa"/>
            <w:shd w:val="clear" w:color="auto" w:fill="auto"/>
            <w:vAlign w:val="center"/>
          </w:tcPr>
          <w:p w:rsidR="000B69F3" w:rsidRPr="00A52EA3" w:rsidRDefault="000B69F3" w:rsidP="007801D3">
            <w:pPr>
              <w:jc w:val="center"/>
              <w:rPr>
                <w:rFonts w:ascii="Arial" w:hAnsi="Arial" w:cs="Arial"/>
                <w:b/>
                <w:sz w:val="28"/>
                <w:szCs w:val="28"/>
              </w:rPr>
            </w:pPr>
            <w:r w:rsidRPr="00A52EA3">
              <w:rPr>
                <w:rFonts w:ascii="Arial" w:hAnsi="Arial" w:cs="Arial"/>
                <w:b/>
                <w:sz w:val="28"/>
                <w:szCs w:val="28"/>
              </w:rPr>
              <w:t>Примечание</w:t>
            </w:r>
          </w:p>
        </w:tc>
      </w:tr>
      <w:tr w:rsidR="000B69F3" w:rsidRPr="00A52EA3" w:rsidTr="00AE5490">
        <w:trPr>
          <w:jc w:val="center"/>
        </w:trPr>
        <w:tc>
          <w:tcPr>
            <w:tcW w:w="950" w:type="dxa"/>
            <w:shd w:val="clear" w:color="auto" w:fill="auto"/>
          </w:tcPr>
          <w:p w:rsidR="000B69F3" w:rsidRPr="00A52EA3" w:rsidRDefault="000B69F3" w:rsidP="007801D3">
            <w:pPr>
              <w:numPr>
                <w:ilvl w:val="0"/>
                <w:numId w:val="1"/>
              </w:numPr>
              <w:jc w:val="center"/>
              <w:rPr>
                <w:rFonts w:ascii="Arial" w:hAnsi="Arial" w:cs="Arial"/>
                <w:sz w:val="22"/>
                <w:szCs w:val="22"/>
              </w:rPr>
            </w:pPr>
          </w:p>
        </w:tc>
        <w:tc>
          <w:tcPr>
            <w:tcW w:w="4012" w:type="dxa"/>
            <w:shd w:val="clear" w:color="auto" w:fill="auto"/>
          </w:tcPr>
          <w:p w:rsidR="000B69F3" w:rsidRPr="004119D0" w:rsidRDefault="000B69F3" w:rsidP="007801D3">
            <w:pPr>
              <w:jc w:val="both"/>
              <w:rPr>
                <w:rFonts w:ascii="Arial" w:hAnsi="Arial" w:cs="Arial"/>
                <w:sz w:val="22"/>
                <w:szCs w:val="22"/>
              </w:rPr>
            </w:pPr>
            <w:r w:rsidRPr="004119D0">
              <w:rPr>
                <w:rFonts w:ascii="Arial" w:hAnsi="Arial" w:cs="Arial"/>
                <w:sz w:val="22"/>
                <w:szCs w:val="22"/>
              </w:rPr>
              <w:t>Ул. Заводская, 15</w:t>
            </w:r>
          </w:p>
        </w:tc>
        <w:tc>
          <w:tcPr>
            <w:tcW w:w="2051" w:type="dxa"/>
            <w:shd w:val="clear" w:color="auto" w:fill="auto"/>
          </w:tcPr>
          <w:p w:rsidR="000B69F3" w:rsidRPr="004119D0" w:rsidRDefault="004119D0" w:rsidP="007801D3">
            <w:pPr>
              <w:jc w:val="both"/>
              <w:rPr>
                <w:rFonts w:ascii="Arial" w:hAnsi="Arial" w:cs="Arial"/>
                <w:sz w:val="22"/>
                <w:szCs w:val="22"/>
              </w:rPr>
            </w:pPr>
            <w:r w:rsidRPr="004119D0">
              <w:rPr>
                <w:rFonts w:ascii="Arial" w:hAnsi="Arial" w:cs="Arial"/>
                <w:sz w:val="22"/>
                <w:szCs w:val="22"/>
              </w:rPr>
              <w:t xml:space="preserve">Гаражи, </w:t>
            </w:r>
            <w:proofErr w:type="gramStart"/>
            <w:r w:rsidRPr="004119D0">
              <w:rPr>
                <w:rFonts w:ascii="Arial" w:hAnsi="Arial" w:cs="Arial"/>
                <w:sz w:val="22"/>
                <w:szCs w:val="22"/>
              </w:rPr>
              <w:t>лит</w:t>
            </w:r>
            <w:proofErr w:type="gramEnd"/>
            <w:r w:rsidRPr="004119D0">
              <w:rPr>
                <w:rFonts w:ascii="Arial" w:hAnsi="Arial" w:cs="Arial"/>
                <w:sz w:val="22"/>
                <w:szCs w:val="22"/>
              </w:rPr>
              <w:t xml:space="preserve">. </w:t>
            </w:r>
            <w:proofErr w:type="gramStart"/>
            <w:r w:rsidRPr="004119D0">
              <w:rPr>
                <w:rFonts w:ascii="Arial" w:hAnsi="Arial" w:cs="Arial"/>
                <w:sz w:val="22"/>
                <w:szCs w:val="22"/>
              </w:rPr>
              <w:t>Б</w:t>
            </w:r>
            <w:proofErr w:type="gramEnd"/>
            <w:r w:rsidRPr="004119D0">
              <w:rPr>
                <w:rFonts w:ascii="Arial" w:hAnsi="Arial" w:cs="Arial"/>
                <w:sz w:val="22"/>
                <w:szCs w:val="22"/>
              </w:rPr>
              <w:t>, В,</w:t>
            </w:r>
            <w:r w:rsidR="000B69F3" w:rsidRPr="004119D0">
              <w:rPr>
                <w:rFonts w:ascii="Arial" w:hAnsi="Arial" w:cs="Arial"/>
                <w:sz w:val="22"/>
                <w:szCs w:val="22"/>
              </w:rPr>
              <w:t xml:space="preserve"> Е, Ж, </w:t>
            </w:r>
          </w:p>
        </w:tc>
        <w:tc>
          <w:tcPr>
            <w:tcW w:w="1250" w:type="dxa"/>
            <w:shd w:val="clear" w:color="auto" w:fill="auto"/>
          </w:tcPr>
          <w:p w:rsidR="000B69F3" w:rsidRPr="004119D0" w:rsidRDefault="000B69F3" w:rsidP="007801D3">
            <w:pPr>
              <w:jc w:val="right"/>
              <w:rPr>
                <w:rFonts w:ascii="Arial" w:hAnsi="Arial" w:cs="Arial"/>
                <w:sz w:val="22"/>
                <w:szCs w:val="22"/>
              </w:rPr>
            </w:pPr>
            <w:r w:rsidRPr="004119D0">
              <w:rPr>
                <w:rFonts w:ascii="Arial" w:hAnsi="Arial" w:cs="Arial"/>
                <w:sz w:val="22"/>
                <w:szCs w:val="22"/>
              </w:rPr>
              <w:t>1 117, 1</w:t>
            </w:r>
          </w:p>
        </w:tc>
        <w:tc>
          <w:tcPr>
            <w:tcW w:w="6523" w:type="dxa"/>
            <w:shd w:val="clear" w:color="auto" w:fill="auto"/>
          </w:tcPr>
          <w:p w:rsidR="00742E2E" w:rsidRPr="004119D0" w:rsidRDefault="004119D0" w:rsidP="00742E2E">
            <w:pPr>
              <w:jc w:val="both"/>
              <w:rPr>
                <w:rFonts w:ascii="Arial" w:hAnsi="Arial" w:cs="Arial"/>
                <w:sz w:val="22"/>
                <w:szCs w:val="22"/>
              </w:rPr>
            </w:pPr>
            <w:r w:rsidRPr="004119D0">
              <w:rPr>
                <w:rFonts w:ascii="Arial" w:hAnsi="Arial" w:cs="Arial"/>
                <w:sz w:val="22"/>
                <w:szCs w:val="22"/>
              </w:rPr>
              <w:t>В программе приватизации 2015</w:t>
            </w:r>
            <w:r w:rsidR="00742E2E" w:rsidRPr="004119D0">
              <w:rPr>
                <w:rFonts w:ascii="Arial" w:hAnsi="Arial" w:cs="Arial"/>
                <w:sz w:val="22"/>
                <w:szCs w:val="22"/>
              </w:rPr>
              <w:t>.</w:t>
            </w:r>
          </w:p>
          <w:p w:rsidR="003C2057" w:rsidRPr="004119D0" w:rsidRDefault="003C2057" w:rsidP="007801D3">
            <w:pPr>
              <w:jc w:val="both"/>
              <w:rPr>
                <w:rFonts w:ascii="Arial" w:hAnsi="Arial" w:cs="Arial"/>
                <w:sz w:val="22"/>
                <w:szCs w:val="22"/>
              </w:rPr>
            </w:pPr>
          </w:p>
        </w:tc>
      </w:tr>
      <w:tr w:rsidR="000B69F3" w:rsidRPr="00A52EA3" w:rsidTr="00AE5490">
        <w:trPr>
          <w:jc w:val="center"/>
        </w:trPr>
        <w:tc>
          <w:tcPr>
            <w:tcW w:w="950" w:type="dxa"/>
            <w:shd w:val="clear" w:color="auto" w:fill="auto"/>
          </w:tcPr>
          <w:p w:rsidR="000B69F3" w:rsidRPr="00A52EA3" w:rsidRDefault="000B69F3" w:rsidP="007801D3">
            <w:pPr>
              <w:numPr>
                <w:ilvl w:val="0"/>
                <w:numId w:val="1"/>
              </w:numPr>
              <w:jc w:val="center"/>
              <w:rPr>
                <w:rFonts w:ascii="Arial" w:hAnsi="Arial" w:cs="Arial"/>
                <w:sz w:val="22"/>
                <w:szCs w:val="22"/>
              </w:rPr>
            </w:pPr>
          </w:p>
        </w:tc>
        <w:tc>
          <w:tcPr>
            <w:tcW w:w="4012" w:type="dxa"/>
            <w:shd w:val="clear" w:color="auto" w:fill="auto"/>
          </w:tcPr>
          <w:p w:rsidR="000B69F3" w:rsidRPr="006C4CF4" w:rsidRDefault="000B69F3" w:rsidP="007801D3">
            <w:pPr>
              <w:jc w:val="both"/>
              <w:rPr>
                <w:rFonts w:ascii="Arial" w:hAnsi="Arial" w:cs="Arial"/>
                <w:sz w:val="22"/>
                <w:szCs w:val="22"/>
              </w:rPr>
            </w:pPr>
            <w:r w:rsidRPr="006C4CF4">
              <w:rPr>
                <w:rFonts w:ascii="Arial" w:hAnsi="Arial" w:cs="Arial"/>
                <w:sz w:val="22"/>
                <w:szCs w:val="22"/>
              </w:rPr>
              <w:t>Ул. Харьковская, 83</w:t>
            </w:r>
          </w:p>
        </w:tc>
        <w:tc>
          <w:tcPr>
            <w:tcW w:w="2051" w:type="dxa"/>
            <w:shd w:val="clear" w:color="auto" w:fill="auto"/>
          </w:tcPr>
          <w:p w:rsidR="000B69F3" w:rsidRPr="006C4CF4" w:rsidRDefault="000B69F3" w:rsidP="007801D3">
            <w:pPr>
              <w:jc w:val="both"/>
              <w:rPr>
                <w:rFonts w:ascii="Arial" w:hAnsi="Arial" w:cs="Arial"/>
                <w:sz w:val="22"/>
                <w:szCs w:val="22"/>
              </w:rPr>
            </w:pPr>
            <w:r w:rsidRPr="006C4CF4">
              <w:rPr>
                <w:rFonts w:ascii="Arial" w:hAnsi="Arial" w:cs="Arial"/>
                <w:sz w:val="22"/>
                <w:szCs w:val="22"/>
              </w:rPr>
              <w:t>подвал</w:t>
            </w:r>
          </w:p>
        </w:tc>
        <w:tc>
          <w:tcPr>
            <w:tcW w:w="1250" w:type="dxa"/>
            <w:shd w:val="clear" w:color="auto" w:fill="auto"/>
          </w:tcPr>
          <w:p w:rsidR="000B69F3" w:rsidRPr="006C4CF4" w:rsidRDefault="000B69F3" w:rsidP="007801D3">
            <w:pPr>
              <w:jc w:val="right"/>
              <w:rPr>
                <w:rFonts w:ascii="Arial" w:hAnsi="Arial" w:cs="Arial"/>
                <w:sz w:val="22"/>
                <w:szCs w:val="22"/>
              </w:rPr>
            </w:pPr>
            <w:r w:rsidRPr="006C4CF4">
              <w:rPr>
                <w:rFonts w:ascii="Arial" w:hAnsi="Arial" w:cs="Arial"/>
                <w:sz w:val="22"/>
                <w:szCs w:val="22"/>
              </w:rPr>
              <w:t>118, 6</w:t>
            </w:r>
          </w:p>
        </w:tc>
        <w:tc>
          <w:tcPr>
            <w:tcW w:w="6523" w:type="dxa"/>
            <w:shd w:val="clear" w:color="auto" w:fill="auto"/>
          </w:tcPr>
          <w:p w:rsidR="00742E2E" w:rsidRPr="006C4CF4" w:rsidRDefault="006C4CF4" w:rsidP="00742E2E">
            <w:pPr>
              <w:jc w:val="both"/>
              <w:rPr>
                <w:rFonts w:ascii="Arial" w:hAnsi="Arial" w:cs="Arial"/>
                <w:sz w:val="22"/>
                <w:szCs w:val="22"/>
              </w:rPr>
            </w:pPr>
            <w:r w:rsidRPr="006C4CF4">
              <w:rPr>
                <w:rFonts w:ascii="Arial" w:hAnsi="Arial" w:cs="Arial"/>
                <w:sz w:val="22"/>
                <w:szCs w:val="22"/>
              </w:rPr>
              <w:t>В программе приватизации 2015</w:t>
            </w:r>
            <w:r w:rsidR="00742E2E" w:rsidRPr="006C4CF4">
              <w:rPr>
                <w:rFonts w:ascii="Arial" w:hAnsi="Arial" w:cs="Arial"/>
                <w:sz w:val="22"/>
                <w:szCs w:val="22"/>
              </w:rPr>
              <w:t>.</w:t>
            </w:r>
          </w:p>
          <w:p w:rsidR="00397A0A" w:rsidRPr="006C4CF4" w:rsidRDefault="00397A0A" w:rsidP="007801D3">
            <w:pPr>
              <w:jc w:val="both"/>
              <w:rPr>
                <w:rFonts w:ascii="Arial" w:hAnsi="Arial" w:cs="Arial"/>
                <w:sz w:val="22"/>
                <w:szCs w:val="22"/>
              </w:rPr>
            </w:pPr>
          </w:p>
        </w:tc>
      </w:tr>
      <w:tr w:rsidR="000B69F3" w:rsidRPr="00A52EA3" w:rsidTr="00AE5490">
        <w:trPr>
          <w:jc w:val="center"/>
        </w:trPr>
        <w:tc>
          <w:tcPr>
            <w:tcW w:w="950" w:type="dxa"/>
            <w:shd w:val="clear" w:color="auto" w:fill="auto"/>
          </w:tcPr>
          <w:p w:rsidR="000B69F3" w:rsidRPr="00A52EA3" w:rsidRDefault="000B69F3" w:rsidP="007801D3">
            <w:pPr>
              <w:numPr>
                <w:ilvl w:val="0"/>
                <w:numId w:val="1"/>
              </w:numPr>
              <w:jc w:val="center"/>
              <w:rPr>
                <w:rFonts w:ascii="Arial" w:hAnsi="Arial" w:cs="Arial"/>
                <w:sz w:val="22"/>
                <w:szCs w:val="22"/>
              </w:rPr>
            </w:pPr>
          </w:p>
        </w:tc>
        <w:tc>
          <w:tcPr>
            <w:tcW w:w="4012" w:type="dxa"/>
            <w:shd w:val="clear" w:color="auto" w:fill="auto"/>
          </w:tcPr>
          <w:p w:rsidR="000B69F3" w:rsidRPr="00876369" w:rsidRDefault="000B69F3" w:rsidP="007801D3">
            <w:pPr>
              <w:jc w:val="both"/>
              <w:rPr>
                <w:rFonts w:ascii="Arial" w:hAnsi="Arial" w:cs="Arial"/>
                <w:sz w:val="22"/>
                <w:szCs w:val="22"/>
              </w:rPr>
            </w:pPr>
            <w:r w:rsidRPr="00876369">
              <w:rPr>
                <w:rFonts w:ascii="Arial" w:hAnsi="Arial" w:cs="Arial"/>
                <w:sz w:val="22"/>
                <w:szCs w:val="22"/>
              </w:rPr>
              <w:t>Ул. Знойная, 9-13</w:t>
            </w:r>
          </w:p>
        </w:tc>
        <w:tc>
          <w:tcPr>
            <w:tcW w:w="2051" w:type="dxa"/>
            <w:shd w:val="clear" w:color="auto" w:fill="auto"/>
          </w:tcPr>
          <w:p w:rsidR="000B69F3" w:rsidRPr="00876369" w:rsidRDefault="000B69F3" w:rsidP="007801D3">
            <w:pPr>
              <w:jc w:val="both"/>
              <w:rPr>
                <w:rFonts w:ascii="Arial" w:hAnsi="Arial" w:cs="Arial"/>
                <w:sz w:val="22"/>
                <w:szCs w:val="22"/>
              </w:rPr>
            </w:pPr>
            <w:r w:rsidRPr="00876369">
              <w:rPr>
                <w:rFonts w:ascii="Arial" w:hAnsi="Arial" w:cs="Arial"/>
                <w:sz w:val="22"/>
                <w:szCs w:val="22"/>
              </w:rPr>
              <w:t>подвал</w:t>
            </w:r>
          </w:p>
        </w:tc>
        <w:tc>
          <w:tcPr>
            <w:tcW w:w="1250" w:type="dxa"/>
            <w:shd w:val="clear" w:color="auto" w:fill="auto"/>
          </w:tcPr>
          <w:p w:rsidR="000B69F3" w:rsidRPr="00876369" w:rsidRDefault="000B69F3" w:rsidP="007801D3">
            <w:pPr>
              <w:jc w:val="right"/>
              <w:rPr>
                <w:rFonts w:ascii="Arial" w:hAnsi="Arial" w:cs="Arial"/>
                <w:sz w:val="22"/>
                <w:szCs w:val="22"/>
              </w:rPr>
            </w:pPr>
            <w:r w:rsidRPr="00876369">
              <w:rPr>
                <w:rFonts w:ascii="Arial" w:hAnsi="Arial" w:cs="Arial"/>
                <w:sz w:val="22"/>
                <w:szCs w:val="22"/>
              </w:rPr>
              <w:t>154,2</w:t>
            </w:r>
          </w:p>
        </w:tc>
        <w:tc>
          <w:tcPr>
            <w:tcW w:w="6523" w:type="dxa"/>
            <w:shd w:val="clear" w:color="auto" w:fill="auto"/>
          </w:tcPr>
          <w:p w:rsidR="000B69F3" w:rsidRPr="00876369" w:rsidRDefault="000B69F3" w:rsidP="007801D3">
            <w:pPr>
              <w:jc w:val="both"/>
              <w:rPr>
                <w:rFonts w:ascii="Arial" w:hAnsi="Arial" w:cs="Arial"/>
                <w:sz w:val="22"/>
                <w:szCs w:val="22"/>
              </w:rPr>
            </w:pPr>
            <w:r w:rsidRPr="00876369">
              <w:rPr>
                <w:rFonts w:ascii="Arial" w:hAnsi="Arial" w:cs="Arial"/>
                <w:sz w:val="22"/>
                <w:szCs w:val="22"/>
              </w:rPr>
              <w:t>Состояние неудовлетворительн</w:t>
            </w:r>
            <w:r w:rsidR="0089705D" w:rsidRPr="00876369">
              <w:rPr>
                <w:rFonts w:ascii="Arial" w:hAnsi="Arial" w:cs="Arial"/>
                <w:sz w:val="22"/>
                <w:szCs w:val="22"/>
              </w:rPr>
              <w:t>ое.</w:t>
            </w:r>
          </w:p>
          <w:p w:rsidR="0088270B" w:rsidRPr="00876369" w:rsidRDefault="00742E2E" w:rsidP="00AF50FD">
            <w:pPr>
              <w:jc w:val="both"/>
              <w:rPr>
                <w:rFonts w:ascii="Arial" w:hAnsi="Arial" w:cs="Arial"/>
                <w:sz w:val="22"/>
                <w:szCs w:val="22"/>
              </w:rPr>
            </w:pPr>
            <w:r w:rsidRPr="00876369">
              <w:rPr>
                <w:rFonts w:ascii="Arial" w:hAnsi="Arial" w:cs="Arial"/>
                <w:sz w:val="22"/>
                <w:szCs w:val="22"/>
              </w:rPr>
              <w:t xml:space="preserve">В программе </w:t>
            </w:r>
            <w:r w:rsidR="00876369" w:rsidRPr="00876369">
              <w:rPr>
                <w:rFonts w:ascii="Arial" w:hAnsi="Arial" w:cs="Arial"/>
                <w:sz w:val="22"/>
                <w:szCs w:val="22"/>
              </w:rPr>
              <w:t>приватизации 2015</w:t>
            </w:r>
            <w:r w:rsidRPr="00876369">
              <w:rPr>
                <w:rFonts w:ascii="Arial" w:hAnsi="Arial" w:cs="Arial"/>
                <w:sz w:val="22"/>
                <w:szCs w:val="22"/>
              </w:rPr>
              <w:t>.</w:t>
            </w:r>
          </w:p>
        </w:tc>
      </w:tr>
      <w:tr w:rsidR="00742E2E" w:rsidRPr="00A52EA3" w:rsidTr="00FA412D">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876369" w:rsidRDefault="00742E2E" w:rsidP="00FA412D">
            <w:pPr>
              <w:rPr>
                <w:rFonts w:ascii="Calibri" w:hAnsi="Calibri"/>
                <w:color w:val="000000"/>
              </w:rPr>
            </w:pPr>
            <w:r w:rsidRPr="00876369">
              <w:rPr>
                <w:rFonts w:ascii="Calibri" w:hAnsi="Calibri"/>
                <w:color w:val="000000"/>
              </w:rPr>
              <w:t>ул. А. Матросова, д.19</w:t>
            </w:r>
          </w:p>
        </w:tc>
        <w:tc>
          <w:tcPr>
            <w:tcW w:w="2051" w:type="dxa"/>
            <w:shd w:val="clear" w:color="auto" w:fill="auto"/>
          </w:tcPr>
          <w:p w:rsidR="00742E2E" w:rsidRPr="00876369" w:rsidRDefault="00742E2E" w:rsidP="007801D3">
            <w:pPr>
              <w:rPr>
                <w:rFonts w:ascii="Arial" w:hAnsi="Arial" w:cs="Arial"/>
                <w:sz w:val="22"/>
                <w:szCs w:val="22"/>
              </w:rPr>
            </w:pPr>
            <w:r w:rsidRPr="00876369">
              <w:rPr>
                <w:rFonts w:ascii="Calibri" w:hAnsi="Calibri"/>
                <w:color w:val="000000"/>
              </w:rPr>
              <w:t>Нежилое отдельно стоящее здание</w:t>
            </w:r>
          </w:p>
        </w:tc>
        <w:tc>
          <w:tcPr>
            <w:tcW w:w="1250" w:type="dxa"/>
            <w:shd w:val="clear" w:color="auto" w:fill="auto"/>
          </w:tcPr>
          <w:p w:rsidR="00742E2E" w:rsidRPr="00876369" w:rsidRDefault="00742E2E" w:rsidP="007801D3">
            <w:pPr>
              <w:jc w:val="right"/>
              <w:rPr>
                <w:rFonts w:ascii="Arial" w:hAnsi="Arial" w:cs="Arial"/>
                <w:sz w:val="22"/>
                <w:szCs w:val="22"/>
              </w:rPr>
            </w:pPr>
            <w:r w:rsidRPr="00876369">
              <w:rPr>
                <w:rFonts w:ascii="Calibri" w:hAnsi="Calibri"/>
                <w:color w:val="000000"/>
              </w:rPr>
              <w:t>232,3</w:t>
            </w:r>
          </w:p>
        </w:tc>
        <w:tc>
          <w:tcPr>
            <w:tcW w:w="6523" w:type="dxa"/>
            <w:shd w:val="clear" w:color="auto" w:fill="auto"/>
          </w:tcPr>
          <w:p w:rsidR="00742E2E" w:rsidRPr="00876369" w:rsidRDefault="00876369">
            <w:r w:rsidRPr="00876369">
              <w:rPr>
                <w:rFonts w:ascii="Arial" w:hAnsi="Arial" w:cs="Arial"/>
                <w:sz w:val="22"/>
                <w:szCs w:val="22"/>
              </w:rPr>
              <w:t>В программе приватизации 2015</w:t>
            </w:r>
            <w:r w:rsidR="00742E2E" w:rsidRPr="00876369">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876369" w:rsidRDefault="00742E2E" w:rsidP="007801D3">
            <w:pPr>
              <w:tabs>
                <w:tab w:val="left" w:pos="924"/>
              </w:tabs>
              <w:jc w:val="both"/>
              <w:rPr>
                <w:rFonts w:ascii="Calibri" w:hAnsi="Calibri"/>
                <w:color w:val="000000"/>
              </w:rPr>
            </w:pPr>
            <w:r w:rsidRPr="00876369">
              <w:rPr>
                <w:rFonts w:ascii="Calibri" w:hAnsi="Calibri"/>
                <w:color w:val="000000"/>
              </w:rPr>
              <w:t>ул. Гавриленко, д.13</w:t>
            </w:r>
          </w:p>
        </w:tc>
        <w:tc>
          <w:tcPr>
            <w:tcW w:w="2051" w:type="dxa"/>
            <w:shd w:val="clear" w:color="auto" w:fill="auto"/>
          </w:tcPr>
          <w:p w:rsidR="00742E2E" w:rsidRPr="00876369" w:rsidRDefault="00742E2E" w:rsidP="007801D3">
            <w:pPr>
              <w:rPr>
                <w:rFonts w:ascii="Arial" w:hAnsi="Arial" w:cs="Arial"/>
                <w:sz w:val="22"/>
                <w:szCs w:val="22"/>
              </w:rPr>
            </w:pPr>
            <w:r w:rsidRPr="00876369">
              <w:rPr>
                <w:rFonts w:ascii="Calibri" w:hAnsi="Calibri"/>
                <w:color w:val="000000"/>
              </w:rPr>
              <w:t>Нежилое отдельно стоящее здание</w:t>
            </w:r>
          </w:p>
        </w:tc>
        <w:tc>
          <w:tcPr>
            <w:tcW w:w="1250" w:type="dxa"/>
            <w:shd w:val="clear" w:color="auto" w:fill="auto"/>
          </w:tcPr>
          <w:p w:rsidR="00742E2E" w:rsidRPr="00876369" w:rsidRDefault="00742E2E" w:rsidP="007801D3">
            <w:pPr>
              <w:jc w:val="right"/>
              <w:rPr>
                <w:rFonts w:ascii="Calibri" w:hAnsi="Calibri"/>
                <w:color w:val="000000"/>
              </w:rPr>
            </w:pPr>
            <w:r w:rsidRPr="00876369">
              <w:rPr>
                <w:rFonts w:ascii="Calibri" w:hAnsi="Calibri"/>
                <w:color w:val="000000"/>
              </w:rPr>
              <w:t>167,2</w:t>
            </w:r>
          </w:p>
        </w:tc>
        <w:tc>
          <w:tcPr>
            <w:tcW w:w="6523" w:type="dxa"/>
            <w:shd w:val="clear" w:color="auto" w:fill="auto"/>
          </w:tcPr>
          <w:p w:rsidR="00742E2E" w:rsidRPr="00876369" w:rsidRDefault="00876369">
            <w:r w:rsidRPr="00876369">
              <w:rPr>
                <w:rFonts w:ascii="Arial" w:hAnsi="Arial" w:cs="Arial"/>
                <w:sz w:val="22"/>
                <w:szCs w:val="22"/>
              </w:rPr>
              <w:t>В программе приватизации 2015</w:t>
            </w:r>
            <w:r w:rsidR="00742E2E" w:rsidRPr="00876369">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876369" w:rsidRDefault="00742E2E" w:rsidP="007801D3">
            <w:pPr>
              <w:tabs>
                <w:tab w:val="left" w:pos="924"/>
              </w:tabs>
              <w:jc w:val="both"/>
              <w:rPr>
                <w:rFonts w:ascii="Calibri" w:hAnsi="Calibri"/>
                <w:color w:val="000000"/>
              </w:rPr>
            </w:pPr>
            <w:r w:rsidRPr="00876369">
              <w:rPr>
                <w:rFonts w:ascii="Calibri" w:hAnsi="Calibri"/>
                <w:color w:val="000000"/>
              </w:rPr>
              <w:t>ул. Окская, д.37-39</w:t>
            </w:r>
          </w:p>
        </w:tc>
        <w:tc>
          <w:tcPr>
            <w:tcW w:w="2051" w:type="dxa"/>
            <w:shd w:val="clear" w:color="auto" w:fill="auto"/>
          </w:tcPr>
          <w:p w:rsidR="00742E2E" w:rsidRPr="00876369" w:rsidRDefault="00742E2E" w:rsidP="007801D3">
            <w:pPr>
              <w:rPr>
                <w:rFonts w:ascii="Arial" w:hAnsi="Arial" w:cs="Arial"/>
                <w:sz w:val="22"/>
                <w:szCs w:val="22"/>
              </w:rPr>
            </w:pPr>
            <w:r w:rsidRPr="00876369">
              <w:rPr>
                <w:rFonts w:ascii="Calibri" w:hAnsi="Calibri"/>
                <w:color w:val="000000"/>
              </w:rPr>
              <w:t>Нежилое отдельно стоящее здание</w:t>
            </w:r>
          </w:p>
        </w:tc>
        <w:tc>
          <w:tcPr>
            <w:tcW w:w="1250" w:type="dxa"/>
            <w:shd w:val="clear" w:color="auto" w:fill="auto"/>
          </w:tcPr>
          <w:p w:rsidR="00742E2E" w:rsidRPr="00876369" w:rsidRDefault="00742E2E" w:rsidP="007801D3">
            <w:pPr>
              <w:jc w:val="right"/>
              <w:rPr>
                <w:rFonts w:ascii="Calibri" w:hAnsi="Calibri"/>
                <w:color w:val="000000"/>
              </w:rPr>
            </w:pPr>
            <w:r w:rsidRPr="00876369">
              <w:rPr>
                <w:rFonts w:ascii="Calibri" w:hAnsi="Calibri"/>
                <w:color w:val="000000"/>
              </w:rPr>
              <w:t>175,9</w:t>
            </w:r>
          </w:p>
        </w:tc>
        <w:tc>
          <w:tcPr>
            <w:tcW w:w="6523" w:type="dxa"/>
            <w:shd w:val="clear" w:color="auto" w:fill="auto"/>
          </w:tcPr>
          <w:p w:rsidR="00742E2E" w:rsidRPr="00876369" w:rsidRDefault="00876369">
            <w:r w:rsidRPr="00876369">
              <w:rPr>
                <w:rFonts w:ascii="Arial" w:hAnsi="Arial" w:cs="Arial"/>
                <w:sz w:val="22"/>
                <w:szCs w:val="22"/>
              </w:rPr>
              <w:t>В программе приватизации 2015</w:t>
            </w:r>
            <w:r w:rsidR="00742E2E" w:rsidRPr="00876369">
              <w:rPr>
                <w:rFonts w:ascii="Arial" w:hAnsi="Arial" w:cs="Arial"/>
                <w:sz w:val="22"/>
                <w:szCs w:val="22"/>
              </w:rPr>
              <w:t>.</w:t>
            </w:r>
          </w:p>
        </w:tc>
      </w:tr>
      <w:tr w:rsidR="000B69F3" w:rsidRPr="00A52EA3" w:rsidTr="00AE5490">
        <w:trPr>
          <w:jc w:val="center"/>
        </w:trPr>
        <w:tc>
          <w:tcPr>
            <w:tcW w:w="950" w:type="dxa"/>
            <w:shd w:val="clear" w:color="auto" w:fill="auto"/>
          </w:tcPr>
          <w:p w:rsidR="000B69F3" w:rsidRPr="00A52EA3" w:rsidRDefault="000B69F3" w:rsidP="007801D3">
            <w:pPr>
              <w:numPr>
                <w:ilvl w:val="0"/>
                <w:numId w:val="1"/>
              </w:numPr>
              <w:jc w:val="center"/>
              <w:rPr>
                <w:rFonts w:ascii="Arial" w:hAnsi="Arial" w:cs="Arial"/>
                <w:sz w:val="22"/>
                <w:szCs w:val="22"/>
              </w:rPr>
            </w:pPr>
          </w:p>
        </w:tc>
        <w:tc>
          <w:tcPr>
            <w:tcW w:w="4012" w:type="dxa"/>
            <w:shd w:val="clear" w:color="auto" w:fill="auto"/>
          </w:tcPr>
          <w:p w:rsidR="000B69F3" w:rsidRPr="0051665C" w:rsidRDefault="000B69F3" w:rsidP="007801D3">
            <w:pPr>
              <w:tabs>
                <w:tab w:val="left" w:pos="924"/>
              </w:tabs>
              <w:jc w:val="both"/>
              <w:rPr>
                <w:rFonts w:ascii="Calibri" w:hAnsi="Calibri"/>
                <w:color w:val="000000"/>
              </w:rPr>
            </w:pPr>
            <w:r w:rsidRPr="0051665C">
              <w:rPr>
                <w:rFonts w:ascii="Calibri" w:hAnsi="Calibri"/>
                <w:color w:val="000000"/>
              </w:rPr>
              <w:t xml:space="preserve">пос. </w:t>
            </w:r>
            <w:proofErr w:type="spellStart"/>
            <w:r w:rsidRPr="0051665C">
              <w:rPr>
                <w:rFonts w:ascii="Calibri" w:hAnsi="Calibri"/>
                <w:color w:val="000000"/>
              </w:rPr>
              <w:t>Прегольский</w:t>
            </w:r>
            <w:proofErr w:type="spellEnd"/>
            <w:r w:rsidRPr="0051665C">
              <w:rPr>
                <w:rFonts w:ascii="Calibri" w:hAnsi="Calibri"/>
                <w:color w:val="000000"/>
              </w:rPr>
              <w:t>, д.3</w:t>
            </w:r>
          </w:p>
        </w:tc>
        <w:tc>
          <w:tcPr>
            <w:tcW w:w="2051" w:type="dxa"/>
            <w:shd w:val="clear" w:color="auto" w:fill="auto"/>
          </w:tcPr>
          <w:p w:rsidR="000B69F3" w:rsidRPr="0051665C" w:rsidRDefault="000B69F3"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0B69F3" w:rsidRPr="0051665C" w:rsidRDefault="0051665C" w:rsidP="007801D3">
            <w:pPr>
              <w:jc w:val="right"/>
              <w:rPr>
                <w:rFonts w:ascii="Calibri" w:hAnsi="Calibri"/>
                <w:color w:val="000000"/>
              </w:rPr>
            </w:pPr>
            <w:r w:rsidRPr="0051665C">
              <w:rPr>
                <w:rFonts w:ascii="Calibri" w:hAnsi="Calibri"/>
                <w:color w:val="000000"/>
              </w:rPr>
              <w:t>306,2</w:t>
            </w:r>
          </w:p>
        </w:tc>
        <w:tc>
          <w:tcPr>
            <w:tcW w:w="6523" w:type="dxa"/>
            <w:shd w:val="clear" w:color="auto" w:fill="auto"/>
          </w:tcPr>
          <w:p w:rsidR="004761DC" w:rsidRPr="0051665C" w:rsidRDefault="0051665C" w:rsidP="00AF50FD">
            <w:pPr>
              <w:jc w:val="both"/>
              <w:rPr>
                <w:rFonts w:ascii="Arial" w:hAnsi="Arial" w:cs="Arial"/>
                <w:sz w:val="22"/>
                <w:szCs w:val="22"/>
              </w:rPr>
            </w:pPr>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51665C" w:rsidRDefault="00742E2E" w:rsidP="007801D3">
            <w:pPr>
              <w:tabs>
                <w:tab w:val="left" w:pos="924"/>
              </w:tabs>
              <w:jc w:val="both"/>
              <w:rPr>
                <w:rFonts w:ascii="Calibri" w:hAnsi="Calibri"/>
                <w:color w:val="000000"/>
              </w:rPr>
            </w:pPr>
            <w:r w:rsidRPr="0051665C">
              <w:rPr>
                <w:rFonts w:ascii="Calibri" w:hAnsi="Calibri"/>
                <w:color w:val="000000"/>
              </w:rPr>
              <w:t xml:space="preserve">пос. </w:t>
            </w:r>
            <w:proofErr w:type="spellStart"/>
            <w:r w:rsidRPr="0051665C">
              <w:rPr>
                <w:rFonts w:ascii="Calibri" w:hAnsi="Calibri"/>
                <w:color w:val="000000"/>
              </w:rPr>
              <w:t>Прегольский</w:t>
            </w:r>
            <w:proofErr w:type="spellEnd"/>
            <w:r w:rsidRPr="0051665C">
              <w:rPr>
                <w:rFonts w:ascii="Calibri" w:hAnsi="Calibri"/>
                <w:color w:val="000000"/>
              </w:rPr>
              <w:t>, д.16</w:t>
            </w:r>
          </w:p>
        </w:tc>
        <w:tc>
          <w:tcPr>
            <w:tcW w:w="2051" w:type="dxa"/>
            <w:shd w:val="clear" w:color="auto" w:fill="auto"/>
          </w:tcPr>
          <w:p w:rsidR="00742E2E" w:rsidRPr="0051665C" w:rsidRDefault="00742E2E"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742E2E" w:rsidRPr="0051665C" w:rsidRDefault="00742E2E" w:rsidP="007801D3">
            <w:pPr>
              <w:jc w:val="right"/>
              <w:rPr>
                <w:rFonts w:ascii="Calibri" w:hAnsi="Calibri"/>
                <w:color w:val="000000"/>
              </w:rPr>
            </w:pPr>
            <w:r w:rsidRPr="0051665C">
              <w:rPr>
                <w:rFonts w:ascii="Calibri" w:hAnsi="Calibri"/>
                <w:color w:val="000000"/>
              </w:rPr>
              <w:t>254,4</w:t>
            </w:r>
          </w:p>
        </w:tc>
        <w:tc>
          <w:tcPr>
            <w:tcW w:w="6523" w:type="dxa"/>
            <w:shd w:val="clear" w:color="auto" w:fill="auto"/>
          </w:tcPr>
          <w:p w:rsidR="00742E2E" w:rsidRPr="0051665C" w:rsidRDefault="0051665C">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51665C" w:rsidRDefault="00742E2E" w:rsidP="007801D3">
            <w:pPr>
              <w:tabs>
                <w:tab w:val="left" w:pos="924"/>
              </w:tabs>
              <w:jc w:val="both"/>
              <w:rPr>
                <w:rFonts w:ascii="Calibri" w:hAnsi="Calibri"/>
                <w:color w:val="000000"/>
              </w:rPr>
            </w:pPr>
            <w:r w:rsidRPr="0051665C">
              <w:rPr>
                <w:rFonts w:ascii="Calibri" w:hAnsi="Calibri"/>
                <w:color w:val="000000"/>
              </w:rPr>
              <w:t xml:space="preserve">пос. </w:t>
            </w:r>
            <w:proofErr w:type="spellStart"/>
            <w:r w:rsidRPr="0051665C">
              <w:rPr>
                <w:rFonts w:ascii="Calibri" w:hAnsi="Calibri"/>
                <w:color w:val="000000"/>
              </w:rPr>
              <w:t>Прегольский</w:t>
            </w:r>
            <w:proofErr w:type="spellEnd"/>
            <w:r w:rsidRPr="0051665C">
              <w:rPr>
                <w:rFonts w:ascii="Calibri" w:hAnsi="Calibri"/>
                <w:color w:val="000000"/>
              </w:rPr>
              <w:t>, д.22</w:t>
            </w:r>
          </w:p>
        </w:tc>
        <w:tc>
          <w:tcPr>
            <w:tcW w:w="2051" w:type="dxa"/>
            <w:shd w:val="clear" w:color="auto" w:fill="auto"/>
          </w:tcPr>
          <w:p w:rsidR="00742E2E" w:rsidRPr="0051665C" w:rsidRDefault="00742E2E"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742E2E" w:rsidRPr="0051665C" w:rsidRDefault="00742E2E" w:rsidP="007801D3">
            <w:pPr>
              <w:jc w:val="right"/>
              <w:rPr>
                <w:rFonts w:ascii="Calibri" w:hAnsi="Calibri"/>
                <w:color w:val="000000"/>
              </w:rPr>
            </w:pPr>
            <w:r w:rsidRPr="0051665C">
              <w:rPr>
                <w:rFonts w:ascii="Calibri" w:hAnsi="Calibri"/>
                <w:color w:val="000000"/>
              </w:rPr>
              <w:t>130,4</w:t>
            </w:r>
          </w:p>
        </w:tc>
        <w:tc>
          <w:tcPr>
            <w:tcW w:w="6523" w:type="dxa"/>
            <w:shd w:val="clear" w:color="auto" w:fill="auto"/>
          </w:tcPr>
          <w:p w:rsidR="00742E2E" w:rsidRPr="0051665C" w:rsidRDefault="0051665C">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51665C" w:rsidRDefault="00742E2E" w:rsidP="007801D3">
            <w:pPr>
              <w:tabs>
                <w:tab w:val="left" w:pos="924"/>
              </w:tabs>
              <w:jc w:val="both"/>
              <w:rPr>
                <w:rFonts w:ascii="Calibri" w:hAnsi="Calibri"/>
                <w:color w:val="000000"/>
              </w:rPr>
            </w:pPr>
            <w:r w:rsidRPr="0051665C">
              <w:rPr>
                <w:rFonts w:ascii="Calibri" w:hAnsi="Calibri"/>
                <w:color w:val="000000"/>
              </w:rPr>
              <w:t xml:space="preserve">пос. </w:t>
            </w:r>
            <w:proofErr w:type="spellStart"/>
            <w:r w:rsidRPr="0051665C">
              <w:rPr>
                <w:rFonts w:ascii="Calibri" w:hAnsi="Calibri"/>
                <w:color w:val="000000"/>
              </w:rPr>
              <w:t>Прегольский</w:t>
            </w:r>
            <w:proofErr w:type="spellEnd"/>
            <w:r w:rsidRPr="0051665C">
              <w:rPr>
                <w:rFonts w:ascii="Calibri" w:hAnsi="Calibri"/>
                <w:color w:val="000000"/>
              </w:rPr>
              <w:t>, д. 23</w:t>
            </w:r>
          </w:p>
        </w:tc>
        <w:tc>
          <w:tcPr>
            <w:tcW w:w="2051" w:type="dxa"/>
            <w:shd w:val="clear" w:color="auto" w:fill="auto"/>
          </w:tcPr>
          <w:p w:rsidR="00742E2E" w:rsidRPr="0051665C" w:rsidRDefault="00742E2E"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742E2E" w:rsidRPr="0051665C" w:rsidRDefault="00742E2E" w:rsidP="007801D3">
            <w:pPr>
              <w:jc w:val="right"/>
              <w:rPr>
                <w:rFonts w:ascii="Calibri" w:hAnsi="Calibri"/>
                <w:color w:val="000000"/>
              </w:rPr>
            </w:pPr>
            <w:r w:rsidRPr="0051665C">
              <w:rPr>
                <w:rFonts w:ascii="Calibri" w:hAnsi="Calibri"/>
                <w:color w:val="000000"/>
              </w:rPr>
              <w:t>395,5</w:t>
            </w:r>
          </w:p>
        </w:tc>
        <w:tc>
          <w:tcPr>
            <w:tcW w:w="6523" w:type="dxa"/>
            <w:shd w:val="clear" w:color="auto" w:fill="auto"/>
          </w:tcPr>
          <w:p w:rsidR="00742E2E" w:rsidRPr="0051665C" w:rsidRDefault="0051665C">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51665C" w:rsidRDefault="00742E2E" w:rsidP="007801D3">
            <w:pPr>
              <w:tabs>
                <w:tab w:val="left" w:pos="1308"/>
              </w:tabs>
              <w:jc w:val="both"/>
              <w:rPr>
                <w:rFonts w:ascii="Calibri" w:hAnsi="Calibri"/>
                <w:color w:val="000000"/>
              </w:rPr>
            </w:pPr>
            <w:r w:rsidRPr="0051665C">
              <w:rPr>
                <w:rFonts w:ascii="Calibri" w:hAnsi="Calibri"/>
                <w:color w:val="000000"/>
              </w:rPr>
              <w:t xml:space="preserve">пос. </w:t>
            </w:r>
            <w:proofErr w:type="spellStart"/>
            <w:r w:rsidRPr="0051665C">
              <w:rPr>
                <w:rFonts w:ascii="Calibri" w:hAnsi="Calibri"/>
                <w:color w:val="000000"/>
              </w:rPr>
              <w:t>Прегольский</w:t>
            </w:r>
            <w:proofErr w:type="spellEnd"/>
            <w:r w:rsidRPr="0051665C">
              <w:rPr>
                <w:rFonts w:ascii="Calibri" w:hAnsi="Calibri"/>
                <w:color w:val="000000"/>
              </w:rPr>
              <w:t>, д. 28</w:t>
            </w:r>
          </w:p>
        </w:tc>
        <w:tc>
          <w:tcPr>
            <w:tcW w:w="2051" w:type="dxa"/>
            <w:shd w:val="clear" w:color="auto" w:fill="auto"/>
          </w:tcPr>
          <w:p w:rsidR="00742E2E" w:rsidRPr="0051665C" w:rsidRDefault="00742E2E"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742E2E" w:rsidRPr="0051665C" w:rsidRDefault="00742E2E" w:rsidP="007801D3">
            <w:pPr>
              <w:jc w:val="right"/>
              <w:rPr>
                <w:rFonts w:ascii="Calibri" w:hAnsi="Calibri"/>
                <w:color w:val="000000"/>
              </w:rPr>
            </w:pPr>
            <w:r w:rsidRPr="0051665C">
              <w:rPr>
                <w:rFonts w:ascii="Calibri" w:hAnsi="Calibri"/>
                <w:color w:val="000000"/>
              </w:rPr>
              <w:t>143,7</w:t>
            </w:r>
          </w:p>
        </w:tc>
        <w:tc>
          <w:tcPr>
            <w:tcW w:w="6523" w:type="dxa"/>
            <w:shd w:val="clear" w:color="auto" w:fill="auto"/>
          </w:tcPr>
          <w:p w:rsidR="00742E2E" w:rsidRPr="0051665C" w:rsidRDefault="0051665C">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51665C" w:rsidRDefault="00742E2E" w:rsidP="007801D3">
            <w:pPr>
              <w:tabs>
                <w:tab w:val="left" w:pos="1308"/>
              </w:tabs>
              <w:jc w:val="both"/>
              <w:rPr>
                <w:rFonts w:ascii="Calibri" w:hAnsi="Calibri"/>
                <w:color w:val="000000"/>
              </w:rPr>
            </w:pPr>
            <w:r w:rsidRPr="0051665C">
              <w:rPr>
                <w:rFonts w:ascii="Calibri" w:hAnsi="Calibri"/>
                <w:color w:val="000000"/>
              </w:rPr>
              <w:t>Ул. Дзержинского, 210а</w:t>
            </w:r>
          </w:p>
        </w:tc>
        <w:tc>
          <w:tcPr>
            <w:tcW w:w="2051" w:type="dxa"/>
            <w:shd w:val="clear" w:color="auto" w:fill="auto"/>
          </w:tcPr>
          <w:p w:rsidR="00742E2E" w:rsidRPr="0051665C" w:rsidRDefault="00742E2E"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742E2E" w:rsidRPr="0051665C" w:rsidRDefault="00742E2E" w:rsidP="007801D3">
            <w:pPr>
              <w:jc w:val="right"/>
              <w:rPr>
                <w:rFonts w:ascii="Calibri" w:hAnsi="Calibri"/>
                <w:color w:val="000000"/>
              </w:rPr>
            </w:pPr>
            <w:r w:rsidRPr="0051665C">
              <w:rPr>
                <w:rFonts w:ascii="Calibri" w:hAnsi="Calibri"/>
                <w:color w:val="000000"/>
              </w:rPr>
              <w:t>25,8</w:t>
            </w:r>
          </w:p>
        </w:tc>
        <w:tc>
          <w:tcPr>
            <w:tcW w:w="6523" w:type="dxa"/>
            <w:shd w:val="clear" w:color="auto" w:fill="auto"/>
          </w:tcPr>
          <w:p w:rsidR="00742E2E" w:rsidRPr="0051665C" w:rsidRDefault="0051665C">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bl>
    <w:p w:rsidR="000B69F3" w:rsidRDefault="000B69F3" w:rsidP="000B69F3">
      <w:bookmarkStart w:id="0" w:name="_GoBack"/>
      <w:bookmarkEnd w:id="0"/>
    </w:p>
    <w:p w:rsidR="000B69F3" w:rsidRDefault="000B69F3" w:rsidP="000B69F3">
      <w:r>
        <w:t>Размер начальной стоимости арендной платы в месяц за объект муниципальной собственности, передаваемый в аренду, рассчитывается  на основании Методики определения арендной платы, утвержденной решением городского Совета депутатов Калининграда от 26.03.2014 № 89.</w:t>
      </w:r>
    </w:p>
    <w:p w:rsidR="00D86559" w:rsidRDefault="000B69F3">
      <w:r>
        <w:t>Окончательный размер арендной платы – устанавливается в ходе аукционных торгов.</w:t>
      </w:r>
    </w:p>
    <w:sectPr w:rsidR="00D86559" w:rsidSect="00F7784F">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F39DF"/>
    <w:multiLevelType w:val="hybridMultilevel"/>
    <w:tmpl w:val="AA8A0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F3"/>
    <w:rsid w:val="000054A3"/>
    <w:rsid w:val="00010D63"/>
    <w:rsid w:val="00016C2F"/>
    <w:rsid w:val="000460A6"/>
    <w:rsid w:val="000623DB"/>
    <w:rsid w:val="00066C55"/>
    <w:rsid w:val="00074B1D"/>
    <w:rsid w:val="0009693C"/>
    <w:rsid w:val="000B69F3"/>
    <w:rsid w:val="000C194B"/>
    <w:rsid w:val="000C5D9F"/>
    <w:rsid w:val="000C6D8A"/>
    <w:rsid w:val="001001DD"/>
    <w:rsid w:val="00103D7A"/>
    <w:rsid w:val="00125590"/>
    <w:rsid w:val="0012690E"/>
    <w:rsid w:val="00152B9A"/>
    <w:rsid w:val="001607B8"/>
    <w:rsid w:val="001B0359"/>
    <w:rsid w:val="001E5636"/>
    <w:rsid w:val="00203EDF"/>
    <w:rsid w:val="0020526C"/>
    <w:rsid w:val="002225E1"/>
    <w:rsid w:val="00243582"/>
    <w:rsid w:val="00250870"/>
    <w:rsid w:val="0026521D"/>
    <w:rsid w:val="00285227"/>
    <w:rsid w:val="00316954"/>
    <w:rsid w:val="00317D10"/>
    <w:rsid w:val="00337182"/>
    <w:rsid w:val="00337616"/>
    <w:rsid w:val="00343212"/>
    <w:rsid w:val="003617BC"/>
    <w:rsid w:val="0036768A"/>
    <w:rsid w:val="00372BBA"/>
    <w:rsid w:val="00397267"/>
    <w:rsid w:val="00397541"/>
    <w:rsid w:val="00397A0A"/>
    <w:rsid w:val="003B4125"/>
    <w:rsid w:val="003C2057"/>
    <w:rsid w:val="003E3BAF"/>
    <w:rsid w:val="004119D0"/>
    <w:rsid w:val="004258E9"/>
    <w:rsid w:val="00437503"/>
    <w:rsid w:val="0044690D"/>
    <w:rsid w:val="004610E6"/>
    <w:rsid w:val="004761DC"/>
    <w:rsid w:val="004A3A83"/>
    <w:rsid w:val="004B04A9"/>
    <w:rsid w:val="004C414F"/>
    <w:rsid w:val="004E4550"/>
    <w:rsid w:val="00514AF5"/>
    <w:rsid w:val="0051665C"/>
    <w:rsid w:val="00521B5A"/>
    <w:rsid w:val="00521EC6"/>
    <w:rsid w:val="005234AB"/>
    <w:rsid w:val="00551179"/>
    <w:rsid w:val="00553D1A"/>
    <w:rsid w:val="00560B76"/>
    <w:rsid w:val="00594370"/>
    <w:rsid w:val="005A6B95"/>
    <w:rsid w:val="005B6C94"/>
    <w:rsid w:val="005E637F"/>
    <w:rsid w:val="00603F1A"/>
    <w:rsid w:val="00624025"/>
    <w:rsid w:val="0062733E"/>
    <w:rsid w:val="006456C7"/>
    <w:rsid w:val="006613B6"/>
    <w:rsid w:val="0068409C"/>
    <w:rsid w:val="00687EEC"/>
    <w:rsid w:val="00692F41"/>
    <w:rsid w:val="006C4CF4"/>
    <w:rsid w:val="006C5553"/>
    <w:rsid w:val="006C6B0E"/>
    <w:rsid w:val="006D3424"/>
    <w:rsid w:val="006D4E81"/>
    <w:rsid w:val="006E24E7"/>
    <w:rsid w:val="007042BD"/>
    <w:rsid w:val="0071233F"/>
    <w:rsid w:val="00740E5C"/>
    <w:rsid w:val="00742E2E"/>
    <w:rsid w:val="0079143B"/>
    <w:rsid w:val="007A3694"/>
    <w:rsid w:val="007D3A25"/>
    <w:rsid w:val="007E1E06"/>
    <w:rsid w:val="007F1406"/>
    <w:rsid w:val="0083179F"/>
    <w:rsid w:val="00840AEA"/>
    <w:rsid w:val="00850C4C"/>
    <w:rsid w:val="00876369"/>
    <w:rsid w:val="00876B6D"/>
    <w:rsid w:val="0088270B"/>
    <w:rsid w:val="0089705D"/>
    <w:rsid w:val="008C6955"/>
    <w:rsid w:val="008E5B11"/>
    <w:rsid w:val="008E5F8D"/>
    <w:rsid w:val="00926A53"/>
    <w:rsid w:val="00945E5B"/>
    <w:rsid w:val="00953FBD"/>
    <w:rsid w:val="00965B19"/>
    <w:rsid w:val="009A0D74"/>
    <w:rsid w:val="009A4507"/>
    <w:rsid w:val="009A5E2A"/>
    <w:rsid w:val="009A62EB"/>
    <w:rsid w:val="009F7ECE"/>
    <w:rsid w:val="00A16D07"/>
    <w:rsid w:val="00A3092D"/>
    <w:rsid w:val="00A876BB"/>
    <w:rsid w:val="00AE362A"/>
    <w:rsid w:val="00AE5490"/>
    <w:rsid w:val="00AF50FD"/>
    <w:rsid w:val="00B210DB"/>
    <w:rsid w:val="00B4614B"/>
    <w:rsid w:val="00B77918"/>
    <w:rsid w:val="00B854D5"/>
    <w:rsid w:val="00BC15B3"/>
    <w:rsid w:val="00BF3672"/>
    <w:rsid w:val="00BF4786"/>
    <w:rsid w:val="00C03420"/>
    <w:rsid w:val="00C20EE0"/>
    <w:rsid w:val="00C35010"/>
    <w:rsid w:val="00C553BA"/>
    <w:rsid w:val="00C80C84"/>
    <w:rsid w:val="00C823EB"/>
    <w:rsid w:val="00C86D88"/>
    <w:rsid w:val="00C87A04"/>
    <w:rsid w:val="00CA2DE2"/>
    <w:rsid w:val="00CB004F"/>
    <w:rsid w:val="00CC68CE"/>
    <w:rsid w:val="00D03B43"/>
    <w:rsid w:val="00D3079D"/>
    <w:rsid w:val="00D86559"/>
    <w:rsid w:val="00D91F83"/>
    <w:rsid w:val="00DC2D9F"/>
    <w:rsid w:val="00DE7262"/>
    <w:rsid w:val="00E11724"/>
    <w:rsid w:val="00E1618E"/>
    <w:rsid w:val="00E43F05"/>
    <w:rsid w:val="00E635E3"/>
    <w:rsid w:val="00E75B83"/>
    <w:rsid w:val="00E93750"/>
    <w:rsid w:val="00EA0095"/>
    <w:rsid w:val="00EE0B01"/>
    <w:rsid w:val="00EF4F7A"/>
    <w:rsid w:val="00EF7534"/>
    <w:rsid w:val="00F00D2E"/>
    <w:rsid w:val="00F1120A"/>
    <w:rsid w:val="00F4612E"/>
    <w:rsid w:val="00F5102E"/>
    <w:rsid w:val="00F513CF"/>
    <w:rsid w:val="00F57BE1"/>
    <w:rsid w:val="00F876E4"/>
    <w:rsid w:val="00FA1A4C"/>
    <w:rsid w:val="00FA412D"/>
    <w:rsid w:val="00FB7B23"/>
    <w:rsid w:val="00FC15B9"/>
    <w:rsid w:val="00FF7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9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9F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0B69F3"/>
    <w:rPr>
      <w:color w:val="0000FF"/>
      <w:u w:val="single"/>
    </w:rPr>
  </w:style>
  <w:style w:type="paragraph" w:customStyle="1" w:styleId="ConsPlusCell">
    <w:name w:val="ConsPlusCell"/>
    <w:rsid w:val="002052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0C6D8A"/>
    <w:rPr>
      <w:rFonts w:ascii="Tahoma" w:hAnsi="Tahoma" w:cs="Tahoma"/>
      <w:sz w:val="16"/>
      <w:szCs w:val="16"/>
    </w:rPr>
  </w:style>
  <w:style w:type="character" w:customStyle="1" w:styleId="a5">
    <w:name w:val="Текст выноски Знак"/>
    <w:basedOn w:val="a0"/>
    <w:link w:val="a4"/>
    <w:uiPriority w:val="99"/>
    <w:semiHidden/>
    <w:rsid w:val="000C6D8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9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9F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0B69F3"/>
    <w:rPr>
      <w:color w:val="0000FF"/>
      <w:u w:val="single"/>
    </w:rPr>
  </w:style>
  <w:style w:type="paragraph" w:customStyle="1" w:styleId="ConsPlusCell">
    <w:name w:val="ConsPlusCell"/>
    <w:rsid w:val="002052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0C6D8A"/>
    <w:rPr>
      <w:rFonts w:ascii="Tahoma" w:hAnsi="Tahoma" w:cs="Tahoma"/>
      <w:sz w:val="16"/>
      <w:szCs w:val="16"/>
    </w:rPr>
  </w:style>
  <w:style w:type="character" w:customStyle="1" w:styleId="a5">
    <w:name w:val="Текст выноски Знак"/>
    <w:basedOn w:val="a0"/>
    <w:link w:val="a4"/>
    <w:uiPriority w:val="99"/>
    <w:semiHidden/>
    <w:rsid w:val="000C6D8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lg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Шегеда Владимир Ярославович (SHEGIDA - Шегеда)</dc:creator>
  <cp:lastModifiedBy>Митковская Елена Евгеньевна</cp:lastModifiedBy>
  <cp:revision>4</cp:revision>
  <cp:lastPrinted>2014-12-29T12:31:00Z</cp:lastPrinted>
  <dcterms:created xsi:type="dcterms:W3CDTF">2015-07-08T10:51:00Z</dcterms:created>
  <dcterms:modified xsi:type="dcterms:W3CDTF">2015-07-08T10:52:00Z</dcterms:modified>
</cp:coreProperties>
</file>