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CB" w:rsidRPr="0055369F" w:rsidRDefault="000067CB" w:rsidP="000067CB">
      <w:pPr>
        <w:pStyle w:val="Default"/>
        <w:ind w:left="4956" w:firstLine="708"/>
      </w:pPr>
      <w:r>
        <w:t xml:space="preserve">               </w:t>
      </w:r>
      <w:r w:rsidRPr="0055369F">
        <w:t xml:space="preserve">«Утверждаю» </w:t>
      </w:r>
    </w:p>
    <w:p w:rsidR="000067CB" w:rsidRDefault="000067CB" w:rsidP="000067CB">
      <w:pPr>
        <w:pStyle w:val="Default"/>
      </w:pPr>
      <w:r>
        <w:t xml:space="preserve">                                                                                                 </w:t>
      </w:r>
    </w:p>
    <w:p w:rsidR="000067CB" w:rsidRPr="0055369F" w:rsidRDefault="000067CB" w:rsidP="000067CB">
      <w:pPr>
        <w:pStyle w:val="Default"/>
        <w:ind w:left="4956" w:firstLine="708"/>
      </w:pPr>
      <w:r>
        <w:t xml:space="preserve">    </w:t>
      </w:r>
      <w:r w:rsidRPr="0055369F">
        <w:t>Директор ООО «</w:t>
      </w:r>
      <w:r>
        <w:t>УЮТ-СЕРВИС</w:t>
      </w:r>
      <w:r w:rsidRPr="0055369F">
        <w:t>»</w:t>
      </w:r>
    </w:p>
    <w:p w:rsidR="000067CB" w:rsidRPr="0055369F" w:rsidRDefault="000067CB" w:rsidP="000067CB">
      <w:pPr>
        <w:pStyle w:val="Default"/>
        <w:tabs>
          <w:tab w:val="left" w:pos="7260"/>
          <w:tab w:val="right" w:pos="10233"/>
        </w:tabs>
      </w:pPr>
      <w:r w:rsidRPr="0055369F">
        <w:t xml:space="preserve">                                                                       </w:t>
      </w:r>
      <w:r>
        <w:t xml:space="preserve">                            ___________ О.Б. Манойло</w:t>
      </w:r>
    </w:p>
    <w:p w:rsidR="000067CB" w:rsidRPr="0055369F" w:rsidRDefault="000067CB" w:rsidP="000067CB">
      <w:pPr>
        <w:autoSpaceDE w:val="0"/>
        <w:autoSpaceDN w:val="0"/>
        <w:adjustRightInd w:val="0"/>
        <w:spacing w:after="0" w:line="240" w:lineRule="auto"/>
        <w:jc w:val="center"/>
        <w:rPr>
          <w:rFonts w:ascii="Times New Roman" w:eastAsia="Calibri" w:hAnsi="Times New Roman" w:cs="Times New Roman"/>
          <w:sz w:val="24"/>
          <w:szCs w:val="24"/>
        </w:rPr>
      </w:pPr>
      <w:r w:rsidRPr="005536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369F">
        <w:rPr>
          <w:rFonts w:ascii="Times New Roman" w:hAnsi="Times New Roman" w:cs="Times New Roman"/>
          <w:sz w:val="24"/>
          <w:szCs w:val="24"/>
        </w:rPr>
        <w:t>«___»_______________2016г</w:t>
      </w:r>
    </w:p>
    <w:p w:rsidR="000067CB" w:rsidRDefault="000067CB" w:rsidP="00E224AC">
      <w:pPr>
        <w:autoSpaceDE w:val="0"/>
        <w:autoSpaceDN w:val="0"/>
        <w:adjustRightInd w:val="0"/>
        <w:spacing w:after="0" w:line="240" w:lineRule="auto"/>
        <w:jc w:val="center"/>
        <w:rPr>
          <w:rFonts w:ascii="Times New Roman" w:eastAsia="Calibri" w:hAnsi="Times New Roman" w:cs="Times New Roman"/>
          <w:sz w:val="24"/>
          <w:szCs w:val="24"/>
        </w:rPr>
      </w:pPr>
    </w:p>
    <w:p w:rsidR="000067CB" w:rsidRDefault="000067CB"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r w:rsidR="00E07846">
        <w:rPr>
          <w:rFonts w:ascii="Times New Roman" w:eastAsia="Calibri" w:hAnsi="Times New Roman" w:cs="Times New Roman"/>
          <w:sz w:val="24"/>
          <w:szCs w:val="24"/>
        </w:rPr>
        <w:t xml:space="preserve"> (измененная)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w:t>
      </w:r>
      <w:r w:rsidR="00A25464">
        <w:rPr>
          <w:rFonts w:ascii="Times New Roman" w:eastAsia="Calibri" w:hAnsi="Times New Roman" w:cs="Times New Roman"/>
          <w:sz w:val="24"/>
          <w:szCs w:val="24"/>
        </w:rPr>
        <w:t xml:space="preserve">му ремонту </w:t>
      </w:r>
      <w:r w:rsidR="004C78D4" w:rsidRPr="004C78D4">
        <w:rPr>
          <w:rFonts w:ascii="Times New Roman" w:eastAsia="Calibri" w:hAnsi="Times New Roman" w:cs="Times New Roman"/>
          <w:sz w:val="24"/>
          <w:szCs w:val="24"/>
        </w:rPr>
        <w:t xml:space="preserve">внутридомовых инженерных систем отопления, </w:t>
      </w:r>
      <w:r w:rsidR="00A25464">
        <w:rPr>
          <w:rFonts w:ascii="Times New Roman" w:eastAsia="Calibri" w:hAnsi="Times New Roman" w:cs="Times New Roman"/>
          <w:sz w:val="24"/>
          <w:szCs w:val="24"/>
        </w:rPr>
        <w:t>крыши и чердачного перекрытия</w:t>
      </w:r>
      <w:r w:rsidR="004C78D4">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МКД №</w:t>
      </w:r>
      <w:r w:rsidR="00A25464">
        <w:rPr>
          <w:rFonts w:ascii="Times New Roman" w:eastAsia="Calibri" w:hAnsi="Times New Roman" w:cs="Times New Roman"/>
          <w:sz w:val="24"/>
          <w:szCs w:val="24"/>
        </w:rPr>
        <w:t xml:space="preserve">3-17 по ул. Березовой в </w:t>
      </w:r>
      <w:r w:rsidR="004C78D4">
        <w:rPr>
          <w:rFonts w:ascii="Times New Roman" w:eastAsia="Calibri" w:hAnsi="Times New Roman" w:cs="Times New Roman"/>
          <w:sz w:val="24"/>
          <w:szCs w:val="24"/>
        </w:rPr>
        <w:t xml:space="preserve">                                 </w:t>
      </w:r>
      <w:r w:rsidR="00A25464">
        <w:rPr>
          <w:rFonts w:ascii="Times New Roman" w:eastAsia="Calibri" w:hAnsi="Times New Roman" w:cs="Times New Roman"/>
          <w:sz w:val="24"/>
          <w:szCs w:val="24"/>
        </w:rPr>
        <w:t>г. Калининграде</w:t>
      </w:r>
      <w:r w:rsidRPr="00E224AC">
        <w:rPr>
          <w:rFonts w:ascii="Times New Roman" w:eastAsia="Calibri" w:hAnsi="Times New Roman" w:cs="Times New Roman"/>
          <w:sz w:val="24"/>
          <w:szCs w:val="24"/>
        </w:rPr>
        <w:t>.</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1.2. Заказчиком явля</w:t>
      </w:r>
      <w:r w:rsidR="00A25464">
        <w:rPr>
          <w:rFonts w:ascii="Times New Roman" w:eastAsia="Times New Roman" w:hAnsi="Times New Roman" w:cs="Times New Roman"/>
          <w:sz w:val="24"/>
          <w:szCs w:val="24"/>
          <w:lang w:eastAsia="ru-RU"/>
        </w:rPr>
        <w:t>ется: ООО «УЮТ-СЕРВИС»</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Юридический адрес</w:t>
      </w:r>
      <w:r w:rsidR="00A25464">
        <w:rPr>
          <w:rFonts w:ascii="Times New Roman" w:eastAsia="Times New Roman" w:hAnsi="Times New Roman" w:cs="Times New Roman"/>
          <w:sz w:val="24"/>
          <w:szCs w:val="24"/>
          <w:lang w:eastAsia="ru-RU"/>
        </w:rPr>
        <w:t>:</w:t>
      </w:r>
      <w:r w:rsidR="000067CB">
        <w:rPr>
          <w:rFonts w:ascii="Times New Roman" w:eastAsia="Times New Roman" w:hAnsi="Times New Roman" w:cs="Times New Roman"/>
          <w:sz w:val="24"/>
          <w:szCs w:val="24"/>
          <w:lang w:eastAsia="ru-RU"/>
        </w:rPr>
        <w:t xml:space="preserve"> </w:t>
      </w:r>
      <w:r w:rsidR="0023761B">
        <w:rPr>
          <w:rFonts w:ascii="Times New Roman" w:eastAsia="Times New Roman" w:hAnsi="Times New Roman"/>
          <w:sz w:val="24"/>
          <w:szCs w:val="24"/>
          <w:lang w:eastAsia="ru-RU"/>
        </w:rPr>
        <w:t>236005, г.Калининград, ул. Беговая 1 «В», кв.43</w:t>
      </w:r>
      <w:bookmarkStart w:id="0" w:name="_GoBack"/>
      <w:bookmarkEnd w:id="0"/>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Фактический адрес: </w:t>
      </w:r>
      <w:r w:rsidR="000067CB">
        <w:rPr>
          <w:rFonts w:ascii="Times New Roman" w:eastAsia="Times New Roman" w:hAnsi="Times New Roman" w:cs="Times New Roman"/>
          <w:sz w:val="24"/>
          <w:szCs w:val="24"/>
          <w:lang w:eastAsia="ru-RU"/>
        </w:rPr>
        <w:t>236005, г.Калининград, ул. П.Морозова, 49-2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ru</w:t>
        </w:r>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1.4. Начальная (максимальная) цена до</w:t>
      </w:r>
      <w:r w:rsidR="000067CB">
        <w:rPr>
          <w:rFonts w:ascii="Times New Roman" w:eastAsia="Calibri" w:hAnsi="Times New Roman" w:cs="Times New Roman"/>
          <w:color w:val="000000"/>
          <w:sz w:val="24"/>
          <w:szCs w:val="24"/>
        </w:rPr>
        <w:t xml:space="preserve">говора подряда: </w:t>
      </w:r>
      <w:r w:rsidR="00AF4ABD" w:rsidRPr="00FD03C0">
        <w:rPr>
          <w:rFonts w:ascii="Times New Roman" w:hAnsi="Times New Roman"/>
          <w:b/>
          <w:color w:val="000000"/>
          <w:sz w:val="24"/>
          <w:szCs w:val="24"/>
        </w:rPr>
        <w:t>12</w:t>
      </w:r>
      <w:r w:rsidR="00AF4ABD">
        <w:rPr>
          <w:rFonts w:ascii="Times New Roman" w:hAnsi="Times New Roman"/>
          <w:b/>
          <w:color w:val="000000"/>
          <w:sz w:val="24"/>
          <w:szCs w:val="24"/>
        </w:rPr>
        <w:t> </w:t>
      </w:r>
      <w:r w:rsidR="00AF4ABD" w:rsidRPr="00FD03C0">
        <w:rPr>
          <w:rFonts w:ascii="Times New Roman" w:hAnsi="Times New Roman"/>
          <w:b/>
          <w:color w:val="000000"/>
          <w:sz w:val="24"/>
          <w:szCs w:val="24"/>
        </w:rPr>
        <w:t>941</w:t>
      </w:r>
      <w:r w:rsidR="00AF4ABD">
        <w:rPr>
          <w:rFonts w:ascii="Times New Roman" w:hAnsi="Times New Roman"/>
          <w:b/>
          <w:color w:val="000000"/>
          <w:sz w:val="24"/>
          <w:szCs w:val="24"/>
        </w:rPr>
        <w:t> </w:t>
      </w:r>
      <w:r w:rsidR="00AF4ABD" w:rsidRPr="00FD03C0">
        <w:rPr>
          <w:rFonts w:ascii="Times New Roman" w:hAnsi="Times New Roman"/>
          <w:b/>
          <w:color w:val="000000"/>
          <w:sz w:val="24"/>
          <w:szCs w:val="24"/>
        </w:rPr>
        <w:t>36</w:t>
      </w:r>
      <w:r w:rsidR="00AF4ABD">
        <w:rPr>
          <w:rFonts w:ascii="Times New Roman" w:hAnsi="Times New Roman"/>
          <w:b/>
          <w:color w:val="000000"/>
          <w:sz w:val="24"/>
          <w:szCs w:val="24"/>
        </w:rPr>
        <w:t xml:space="preserve">7 </w:t>
      </w:r>
      <w:r w:rsidR="00AF4ABD" w:rsidRPr="00C32E33">
        <w:rPr>
          <w:rFonts w:ascii="Times New Roman" w:hAnsi="Times New Roman"/>
          <w:color w:val="000000"/>
          <w:sz w:val="24"/>
          <w:szCs w:val="24"/>
        </w:rPr>
        <w:t>(</w:t>
      </w:r>
      <w:r w:rsidR="00AF4ABD">
        <w:rPr>
          <w:rFonts w:ascii="Times New Roman" w:hAnsi="Times New Roman"/>
          <w:color w:val="000000"/>
          <w:sz w:val="24"/>
          <w:szCs w:val="24"/>
        </w:rPr>
        <w:t>двенадцать миллионов девятьсот сорок одна тысяча триста шестьдесят семь</w:t>
      </w:r>
      <w:r w:rsidR="00AF4ABD" w:rsidRPr="00C32E33">
        <w:rPr>
          <w:rFonts w:ascii="Times New Roman" w:hAnsi="Times New Roman"/>
          <w:color w:val="000000"/>
          <w:sz w:val="24"/>
          <w:szCs w:val="24"/>
        </w:rPr>
        <w:t>) руб</w:t>
      </w:r>
      <w:r w:rsidR="00AF4ABD">
        <w:rPr>
          <w:rFonts w:ascii="Times New Roman" w:hAnsi="Times New Roman"/>
          <w:color w:val="000000"/>
          <w:sz w:val="24"/>
          <w:szCs w:val="24"/>
        </w:rPr>
        <w:t>.</w:t>
      </w:r>
      <w:r w:rsidR="00AF4ABD" w:rsidRPr="00C32E33">
        <w:rPr>
          <w:rFonts w:ascii="Times New Roman" w:hAnsi="Times New Roman"/>
          <w:color w:val="000000"/>
          <w:sz w:val="24"/>
          <w:szCs w:val="24"/>
        </w:rPr>
        <w:t xml:space="preserve">, в том числе НДС 18%: </w:t>
      </w:r>
      <w:r w:rsidR="00AF4ABD" w:rsidRPr="00FD03C0">
        <w:rPr>
          <w:rFonts w:ascii="Times New Roman" w:hAnsi="Times New Roman"/>
          <w:b/>
          <w:color w:val="000000"/>
          <w:sz w:val="24"/>
          <w:szCs w:val="24"/>
        </w:rPr>
        <w:t>1</w:t>
      </w:r>
      <w:r w:rsidR="00AF4ABD">
        <w:rPr>
          <w:rFonts w:ascii="Times New Roman" w:hAnsi="Times New Roman"/>
          <w:b/>
          <w:color w:val="000000"/>
          <w:sz w:val="24"/>
          <w:szCs w:val="24"/>
        </w:rPr>
        <w:t> </w:t>
      </w:r>
      <w:r w:rsidR="00AF4ABD" w:rsidRPr="00FD03C0">
        <w:rPr>
          <w:rFonts w:ascii="Times New Roman" w:hAnsi="Times New Roman"/>
          <w:b/>
          <w:color w:val="000000"/>
          <w:sz w:val="24"/>
          <w:szCs w:val="24"/>
        </w:rPr>
        <w:t>974</w:t>
      </w:r>
      <w:r w:rsidR="00AF4ABD">
        <w:rPr>
          <w:rFonts w:ascii="Times New Roman" w:hAnsi="Times New Roman"/>
          <w:b/>
          <w:color w:val="000000"/>
          <w:sz w:val="24"/>
          <w:szCs w:val="24"/>
        </w:rPr>
        <w:t> </w:t>
      </w:r>
      <w:r w:rsidR="00AF4ABD" w:rsidRPr="00FD03C0">
        <w:rPr>
          <w:rFonts w:ascii="Times New Roman" w:hAnsi="Times New Roman"/>
          <w:b/>
          <w:color w:val="000000"/>
          <w:sz w:val="24"/>
          <w:szCs w:val="24"/>
        </w:rPr>
        <w:t>106</w:t>
      </w:r>
      <w:r w:rsidR="00AF4ABD" w:rsidRPr="00C32E33">
        <w:rPr>
          <w:rFonts w:ascii="Times New Roman" w:hAnsi="Times New Roman"/>
          <w:color w:val="000000"/>
          <w:sz w:val="24"/>
          <w:szCs w:val="24"/>
        </w:rPr>
        <w:t xml:space="preserve"> (один миллион </w:t>
      </w:r>
      <w:r w:rsidR="00AF4ABD">
        <w:rPr>
          <w:rFonts w:ascii="Times New Roman" w:hAnsi="Times New Roman"/>
          <w:color w:val="000000"/>
          <w:sz w:val="24"/>
          <w:szCs w:val="24"/>
        </w:rPr>
        <w:t>девятьсот семьдесят четыре тысячи сто шесть</w:t>
      </w:r>
      <w:r w:rsidR="00AF4ABD" w:rsidRPr="00C32E33">
        <w:rPr>
          <w:rFonts w:ascii="Times New Roman" w:hAnsi="Times New Roman"/>
          <w:color w:val="000000"/>
          <w:sz w:val="24"/>
          <w:szCs w:val="24"/>
        </w:rPr>
        <w:t>) руб</w:t>
      </w:r>
      <w:r w:rsidR="00AF4ABD">
        <w:rPr>
          <w:rFonts w:ascii="Times New Roman" w:hAnsi="Times New Roman"/>
          <w:color w:val="000000"/>
          <w:sz w:val="24"/>
          <w:szCs w:val="24"/>
        </w:rPr>
        <w:t>.</w:t>
      </w:r>
      <w:r w:rsidR="00AF4ABD" w:rsidRPr="00C32E33">
        <w:rPr>
          <w:rFonts w:ascii="Times New Roman" w:hAnsi="Times New Roman"/>
          <w:color w:val="000000"/>
          <w:sz w:val="24"/>
          <w:szCs w:val="24"/>
        </w:rPr>
        <w:t xml:space="preserve"> </w:t>
      </w:r>
      <w:r w:rsidR="00AF4ABD" w:rsidRPr="00AF4ABD">
        <w:rPr>
          <w:rFonts w:ascii="Times New Roman" w:hAnsi="Times New Roman"/>
          <w:b/>
          <w:color w:val="000000"/>
          <w:sz w:val="24"/>
          <w:szCs w:val="24"/>
        </w:rPr>
        <w:t>83</w:t>
      </w:r>
      <w:r w:rsidR="00AF4ABD" w:rsidRPr="00C32E33">
        <w:rPr>
          <w:rFonts w:ascii="Times New Roman" w:hAnsi="Times New Roman"/>
          <w:color w:val="000000"/>
          <w:sz w:val="24"/>
          <w:szCs w:val="24"/>
        </w:rPr>
        <w:t xml:space="preserve"> коп</w:t>
      </w:r>
      <w:r w:rsidR="009F30E0">
        <w:rPr>
          <w:rFonts w:ascii="Times New Roman" w:eastAsia="Calibri" w:hAnsi="Times New Roman" w:cs="Times New Roman"/>
          <w:color w:val="000000"/>
          <w:sz w:val="24"/>
          <w:szCs w:val="24"/>
        </w:rPr>
        <w:t>.</w:t>
      </w:r>
      <w:r w:rsidRPr="00E224AC">
        <w:rPr>
          <w:rFonts w:ascii="Times New Roman" w:eastAsia="Calibri" w:hAnsi="Times New Roman" w:cs="Times New Roman"/>
          <w:color w:val="000000"/>
          <w:sz w:val="24"/>
          <w:szCs w:val="24"/>
        </w:rPr>
        <w:t xml:space="preserve"> </w:t>
      </w:r>
    </w:p>
    <w:p w:rsidR="00FC3010" w:rsidRPr="00C32E33" w:rsidRDefault="00FC3010" w:rsidP="00FC3010">
      <w:pPr>
        <w:autoSpaceDE w:val="0"/>
        <w:autoSpaceDN w:val="0"/>
        <w:adjustRightInd w:val="0"/>
        <w:spacing w:after="0" w:line="240" w:lineRule="auto"/>
        <w:jc w:val="both"/>
        <w:rPr>
          <w:rFonts w:ascii="Times New Roman" w:hAnsi="Times New Roman" w:cs="Times New Roman"/>
          <w:sz w:val="24"/>
          <w:szCs w:val="24"/>
        </w:rPr>
      </w:pPr>
      <w:r w:rsidRPr="00FC3010">
        <w:rPr>
          <w:rFonts w:ascii="Times New Roman" w:hAnsi="Times New Roman" w:cs="Times New Roman"/>
          <w:sz w:val="24"/>
          <w:szCs w:val="24"/>
        </w:rPr>
        <w:t>Срок выполнения работ составляет:</w:t>
      </w:r>
      <w:r>
        <w:rPr>
          <w:rFonts w:ascii="Times New Roman" w:hAnsi="Times New Roman"/>
          <w:sz w:val="24"/>
          <w:szCs w:val="24"/>
        </w:rPr>
        <w:t xml:space="preserve"> не более 1</w:t>
      </w:r>
      <w:r w:rsidR="00AF4ABD">
        <w:rPr>
          <w:rFonts w:ascii="Times New Roman" w:hAnsi="Times New Roman"/>
          <w:sz w:val="24"/>
          <w:szCs w:val="24"/>
        </w:rPr>
        <w:t>4</w:t>
      </w:r>
      <w:r>
        <w:rPr>
          <w:rFonts w:ascii="Times New Roman" w:hAnsi="Times New Roman"/>
          <w:sz w:val="24"/>
          <w:szCs w:val="24"/>
        </w:rPr>
        <w:t>0</w:t>
      </w:r>
      <w:r w:rsidRPr="00C32E33">
        <w:rPr>
          <w:rFonts w:ascii="Times New Roman" w:hAnsi="Times New Roman" w:cs="Times New Roman"/>
          <w:sz w:val="24"/>
          <w:szCs w:val="24"/>
        </w:rPr>
        <w:t xml:space="preserve"> календарных дней. </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AF4ABD">
        <w:rPr>
          <w:rFonts w:ascii="Times New Roman" w:hAnsi="Times New Roman"/>
          <w:sz w:val="24"/>
          <w:szCs w:val="24"/>
        </w:rPr>
        <w:t>"1</w:t>
      </w:r>
      <w:r w:rsidR="00960682">
        <w:rPr>
          <w:rFonts w:ascii="Times New Roman" w:hAnsi="Times New Roman"/>
          <w:sz w:val="24"/>
          <w:szCs w:val="24"/>
        </w:rPr>
        <w:t>8</w:t>
      </w:r>
      <w:r w:rsidR="00AF4ABD">
        <w:rPr>
          <w:rFonts w:ascii="Times New Roman" w:hAnsi="Times New Roman"/>
          <w:sz w:val="24"/>
          <w:szCs w:val="24"/>
        </w:rPr>
        <w:t>" июля 2016</w:t>
      </w:r>
      <w:r w:rsidR="00AF4ABD" w:rsidRPr="002B4D54">
        <w:rPr>
          <w:rFonts w:ascii="Times New Roman" w:hAnsi="Times New Roman"/>
          <w:sz w:val="24"/>
          <w:szCs w:val="24"/>
        </w:rPr>
        <w:t xml:space="preserve"> года  </w:t>
      </w:r>
      <w:r w:rsidRPr="00E224AC">
        <w:rPr>
          <w:rFonts w:ascii="Times New Roman" w:eastAsia="Calibri" w:hAnsi="Times New Roman" w:cs="Times New Roman"/>
          <w:sz w:val="24"/>
          <w:szCs w:val="24"/>
        </w:rPr>
        <w:t xml:space="preserve">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r w:rsidRPr="00E224AC">
        <w:rPr>
          <w:rFonts w:ascii="Times New Roman" w:eastAsia="Calibri" w:hAnsi="Times New Roman" w:cs="Times New Roman"/>
          <w:sz w:val="24"/>
          <w:szCs w:val="24"/>
          <w:lang w:val="en-US"/>
        </w:rPr>
        <w:t>klgd</w:t>
      </w:r>
      <w:r w:rsidRPr="00E224AC">
        <w:rPr>
          <w:rFonts w:ascii="Times New Roman" w:eastAsia="Calibri" w:hAnsi="Times New Roman" w:cs="Times New Roman"/>
          <w:sz w:val="24"/>
          <w:szCs w:val="24"/>
        </w:rPr>
        <w:t>.</w:t>
      </w:r>
      <w:r w:rsidRPr="00E224AC">
        <w:rPr>
          <w:rFonts w:ascii="Times New Roman" w:eastAsia="Calibri" w:hAnsi="Times New Roman" w:cs="Times New Roman"/>
          <w:sz w:val="24"/>
          <w:szCs w:val="24"/>
          <w:lang w:val="en-US"/>
        </w:rPr>
        <w:t>ru</w:t>
      </w:r>
      <w:r w:rsidRPr="00E224AC">
        <w:rPr>
          <w:rFonts w:ascii="Times New Roman" w:eastAsia="Calibri" w:hAnsi="Times New Roman" w:cs="Times New Roman"/>
          <w:sz w:val="24"/>
          <w:szCs w:val="24"/>
        </w:rPr>
        <w:t xml:space="preserve"> не позднее, чем за </w:t>
      </w:r>
      <w:r w:rsidR="00E07846">
        <w:rPr>
          <w:rFonts w:ascii="Times New Roman" w:eastAsia="Calibri" w:hAnsi="Times New Roman" w:cs="Times New Roman"/>
          <w:sz w:val="24"/>
          <w:szCs w:val="24"/>
        </w:rPr>
        <w:t>1</w:t>
      </w:r>
      <w:r w:rsidRPr="00E224AC">
        <w:rPr>
          <w:rFonts w:ascii="Times New Roman" w:eastAsia="Calibri" w:hAnsi="Times New Roman" w:cs="Times New Roman"/>
          <w:sz w:val="24"/>
          <w:szCs w:val="24"/>
        </w:rPr>
        <w:t xml:space="preserve">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1.9. Участники конкурса должны перечи</w:t>
      </w:r>
      <w:r w:rsidR="009F30E0">
        <w:rPr>
          <w:rFonts w:ascii="Times New Roman" w:eastAsia="Calibri" w:hAnsi="Times New Roman" w:cs="Times New Roman"/>
          <w:sz w:val="24"/>
          <w:szCs w:val="24"/>
        </w:rPr>
        <w:t xml:space="preserve">слить сумму в размере </w:t>
      </w:r>
      <w:r w:rsidR="00AF4ABD" w:rsidRPr="00FD03C0">
        <w:rPr>
          <w:rFonts w:ascii="Times New Roman" w:hAnsi="Times New Roman"/>
          <w:b/>
          <w:sz w:val="24"/>
          <w:szCs w:val="24"/>
        </w:rPr>
        <w:t>388</w:t>
      </w:r>
      <w:r w:rsidR="00AF4ABD">
        <w:rPr>
          <w:rFonts w:ascii="Times New Roman" w:hAnsi="Times New Roman"/>
          <w:b/>
          <w:sz w:val="24"/>
          <w:szCs w:val="24"/>
        </w:rPr>
        <w:t> </w:t>
      </w:r>
      <w:r w:rsidR="00AF4ABD" w:rsidRPr="00FD03C0">
        <w:rPr>
          <w:rFonts w:ascii="Times New Roman" w:hAnsi="Times New Roman"/>
          <w:b/>
          <w:sz w:val="24"/>
          <w:szCs w:val="24"/>
        </w:rPr>
        <w:t>241</w:t>
      </w:r>
      <w:r w:rsidR="00AF4ABD">
        <w:rPr>
          <w:rFonts w:ascii="Times New Roman" w:hAnsi="Times New Roman"/>
          <w:b/>
          <w:sz w:val="24"/>
          <w:szCs w:val="24"/>
        </w:rPr>
        <w:t xml:space="preserve"> </w:t>
      </w:r>
      <w:r w:rsidR="00AF4ABD">
        <w:rPr>
          <w:rFonts w:ascii="Times New Roman" w:hAnsi="Times New Roman"/>
          <w:sz w:val="24"/>
          <w:szCs w:val="24"/>
        </w:rPr>
        <w:t xml:space="preserve">(триста восемьдесят восемь тысяч двести сорок один) руб. </w:t>
      </w:r>
      <w:r w:rsidR="00AF4ABD" w:rsidRPr="00FD03C0">
        <w:rPr>
          <w:rFonts w:ascii="Times New Roman" w:hAnsi="Times New Roman"/>
          <w:b/>
          <w:sz w:val="24"/>
          <w:szCs w:val="24"/>
        </w:rPr>
        <w:t>01</w:t>
      </w:r>
      <w:r w:rsidR="00AF4ABD">
        <w:rPr>
          <w:rFonts w:ascii="Times New Roman" w:hAnsi="Times New Roman"/>
          <w:sz w:val="24"/>
          <w:szCs w:val="24"/>
        </w:rPr>
        <w:t xml:space="preserve"> коп.</w:t>
      </w:r>
      <w:r w:rsidR="00AF4ABD" w:rsidRPr="00B5209B">
        <w:rPr>
          <w:color w:val="FF0000"/>
        </w:rPr>
        <w:t xml:space="preserve"> </w:t>
      </w:r>
      <w:r w:rsidRPr="00E224AC">
        <w:rPr>
          <w:rFonts w:ascii="Times New Roman" w:eastAsia="Calibri" w:hAnsi="Times New Roman" w:cs="Times New Roman"/>
          <w:sz w:val="24"/>
          <w:szCs w:val="24"/>
        </w:rPr>
        <w:t>(</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0067CB">
        <w:rPr>
          <w:rFonts w:ascii="Times New Roman" w:eastAsia="Calibri" w:hAnsi="Times New Roman" w:cs="Times New Roman"/>
          <w:sz w:val="24"/>
          <w:szCs w:val="24"/>
        </w:rPr>
        <w:t>Отделение Калининград г.Калининград</w:t>
      </w:r>
      <w:r w:rsidRPr="00E224AC">
        <w:rPr>
          <w:rFonts w:ascii="Times New Roman" w:eastAsia="Calibri" w:hAnsi="Times New Roman" w:cs="Times New Roman"/>
          <w:sz w:val="24"/>
          <w:szCs w:val="24"/>
        </w:rPr>
        <w:t>,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r w:rsidRPr="00E224AC">
        <w:rPr>
          <w:rFonts w:ascii="Times New Roman" w:eastAsia="Calibri" w:hAnsi="Times New Roman" w:cs="Times New Roman"/>
          <w:sz w:val="24"/>
          <w:szCs w:val="24"/>
          <w:lang w:val="en-US"/>
        </w:rPr>
        <w:t>klgd</w:t>
      </w:r>
      <w:r w:rsidRPr="00E224AC">
        <w:rPr>
          <w:rFonts w:ascii="Times New Roman" w:eastAsia="Calibri" w:hAnsi="Times New Roman" w:cs="Times New Roman"/>
          <w:sz w:val="24"/>
          <w:szCs w:val="24"/>
        </w:rPr>
        <w:t>.</w:t>
      </w:r>
      <w:r w:rsidRPr="00E224AC">
        <w:rPr>
          <w:rFonts w:ascii="Times New Roman" w:eastAsia="Calibri" w:hAnsi="Times New Roman" w:cs="Times New Roman"/>
          <w:sz w:val="24"/>
          <w:szCs w:val="24"/>
          <w:lang w:val="en-US"/>
        </w:rPr>
        <w:t>ru</w:t>
      </w:r>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w:t>
      </w:r>
      <w:r w:rsidR="00B04ED1" w:rsidRPr="00B04ED1">
        <w:rPr>
          <w:rFonts w:ascii="Times New Roman" w:eastAsia="Calibri" w:hAnsi="Times New Roman" w:cs="Times New Roman"/>
          <w:sz w:val="24"/>
          <w:szCs w:val="24"/>
        </w:rPr>
        <w:lastRenderedPageBreak/>
        <w:t>результатов конкурса. 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r w:rsidRPr="00E224AC">
        <w:rPr>
          <w:rFonts w:ascii="Times New Roman" w:eastAsia="Times New Roman" w:hAnsi="Times New Roman" w:cs="Times New Roman"/>
          <w:sz w:val="24"/>
          <w:szCs w:val="24"/>
          <w:lang w:val="en-US" w:eastAsia="ru-RU"/>
        </w:rPr>
        <w:t>mkukrmkd</w:t>
      </w:r>
      <w:r w:rsidRPr="00E224AC">
        <w:rPr>
          <w:rFonts w:ascii="Times New Roman" w:eastAsia="Times New Roman" w:hAnsi="Times New Roman" w:cs="Times New Roman"/>
          <w:sz w:val="24"/>
          <w:szCs w:val="24"/>
          <w:lang w:eastAsia="ru-RU"/>
        </w:rPr>
        <w:t>@</w:t>
      </w:r>
      <w:r w:rsidRPr="00E224AC">
        <w:rPr>
          <w:rFonts w:ascii="Times New Roman" w:eastAsia="Times New Roman" w:hAnsi="Times New Roman" w:cs="Times New Roman"/>
          <w:sz w:val="24"/>
          <w:szCs w:val="24"/>
          <w:lang w:val="en-US" w:eastAsia="ru-RU"/>
        </w:rPr>
        <w:t>klgd</w:t>
      </w:r>
      <w:r w:rsidRPr="00E224AC">
        <w:rPr>
          <w:rFonts w:ascii="Times New Roman" w:eastAsia="Times New Roman" w:hAnsi="Times New Roman" w:cs="Times New Roman"/>
          <w:sz w:val="24"/>
          <w:szCs w:val="24"/>
          <w:lang w:eastAsia="ru-RU"/>
        </w:rPr>
        <w:t>.</w:t>
      </w:r>
      <w:r w:rsidRPr="00E224AC">
        <w:rPr>
          <w:rFonts w:ascii="Times New Roman" w:eastAsia="Times New Roman" w:hAnsi="Times New Roman" w:cs="Times New Roman"/>
          <w:sz w:val="24"/>
          <w:szCs w:val="24"/>
          <w:lang w:val="en-US" w:eastAsia="ru-RU"/>
        </w:rPr>
        <w:t>ru</w:t>
      </w:r>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E224AC">
        <w:rPr>
          <w:rFonts w:ascii="Times New Roman" w:eastAsia="Calibri"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тника конкурса ( 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lastRenderedPageBreak/>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E224AC">
        <w:rPr>
          <w:rFonts w:ascii="Times New Roman" w:eastAsia="Calibri" w:hAnsi="Times New Roman" w:cs="Times New Roman"/>
          <w:sz w:val="24"/>
          <w:szCs w:val="24"/>
        </w:rPr>
        <w:lastRenderedPageBreak/>
        <w:t xml:space="preserve">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w:t>
      </w:r>
      <w:r w:rsidRPr="00E224AC">
        <w:rPr>
          <w:rFonts w:ascii="Times New Roman" w:eastAsia="Calibri" w:hAnsi="Times New Roman" w:cs="Times New Roman"/>
          <w:sz w:val="24"/>
          <w:szCs w:val="24"/>
        </w:rPr>
        <w:lastRenderedPageBreak/>
        <w:t xml:space="preserve">(далее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непоступлением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w:t>
      </w:r>
      <w:r w:rsidRPr="00E224AC">
        <w:rPr>
          <w:rFonts w:ascii="Times New Roman" w:eastAsia="Calibri" w:hAnsi="Times New Roman" w:cs="Times New Roman"/>
          <w:sz w:val="24"/>
          <w:szCs w:val="24"/>
        </w:rPr>
        <w:lastRenderedPageBreak/>
        <w:t>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E224AC">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rsidSect="002E2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24AC"/>
    <w:rsid w:val="000067CB"/>
    <w:rsid w:val="00061286"/>
    <w:rsid w:val="001C4C5D"/>
    <w:rsid w:val="001D5CD1"/>
    <w:rsid w:val="0023761B"/>
    <w:rsid w:val="00240A9C"/>
    <w:rsid w:val="002E2C25"/>
    <w:rsid w:val="004C78D4"/>
    <w:rsid w:val="0070352A"/>
    <w:rsid w:val="00713E49"/>
    <w:rsid w:val="00793CE4"/>
    <w:rsid w:val="00960682"/>
    <w:rsid w:val="009F30E0"/>
    <w:rsid w:val="00A25464"/>
    <w:rsid w:val="00A55742"/>
    <w:rsid w:val="00A77EEC"/>
    <w:rsid w:val="00A83EA9"/>
    <w:rsid w:val="00AE7DC3"/>
    <w:rsid w:val="00AF4ABD"/>
    <w:rsid w:val="00B036FA"/>
    <w:rsid w:val="00B04ED1"/>
    <w:rsid w:val="00B9216A"/>
    <w:rsid w:val="00B96F86"/>
    <w:rsid w:val="00BA7998"/>
    <w:rsid w:val="00D80646"/>
    <w:rsid w:val="00DD7C26"/>
    <w:rsid w:val="00E07846"/>
    <w:rsid w:val="00E224AC"/>
    <w:rsid w:val="00EA6CA8"/>
    <w:rsid w:val="00ED3B58"/>
    <w:rsid w:val="00EE41CC"/>
    <w:rsid w:val="00EF74A6"/>
    <w:rsid w:val="00FA103C"/>
    <w:rsid w:val="00FC3010"/>
    <w:rsid w:val="00FE2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C25"/>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E224AC"/>
    <w:rPr>
      <w:rFonts w:ascii="Calibri" w:eastAsia="Calibri" w:hAnsi="Calibri" w:cs="Times New Roman"/>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rPr>
  </w:style>
  <w:style w:type="character" w:customStyle="1" w:styleId="aa">
    <w:name w:val="Нижний колонтитул Знак"/>
    <w:basedOn w:val="a0"/>
    <w:link w:val="a9"/>
    <w:semiHidden/>
    <w:rsid w:val="00E224AC"/>
    <w:rPr>
      <w:rFonts w:ascii="Calibri" w:eastAsia="Calibri" w:hAnsi="Calibri" w:cs="Times New Roman"/>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10188</Words>
  <Characters>58072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7</cp:revision>
  <cp:lastPrinted>2016-06-02T12:42:00Z</cp:lastPrinted>
  <dcterms:created xsi:type="dcterms:W3CDTF">2016-06-30T14:07:00Z</dcterms:created>
  <dcterms:modified xsi:type="dcterms:W3CDTF">2016-07-01T09:23:00Z</dcterms:modified>
</cp:coreProperties>
</file>