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bookmarkStart w:id="0" w:name="_GoBack"/>
      <w:bookmarkEnd w:id="0"/>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«КР МКД»</w:t>
            </w:r>
            <w:r w:rsidRPr="00B60C23">
              <w:rPr>
                <w:rFonts w:ascii="Verdana" w:hAnsi="Verdana" w:cs="Verdana"/>
                <w:sz w:val="28"/>
                <w:szCs w:val="28"/>
              </w:rPr>
              <w:t xml:space="preserve">                                    </w:t>
            </w:r>
          </w:p>
        </w:tc>
        <w:tc>
          <w:tcPr>
            <w:tcW w:w="5103" w:type="dxa"/>
          </w:tcPr>
          <w:p w:rsidR="0039024E" w:rsidRDefault="004C1BCF" w:rsidP="0039024E">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BA5AE8">
              <w:rPr>
                <w:rFonts w:ascii="Times New Roman" w:hAnsi="Times New Roman"/>
                <w:b/>
                <w:sz w:val="28"/>
                <w:szCs w:val="28"/>
              </w:rPr>
              <w:t xml:space="preserve"> </w:t>
            </w:r>
            <w:r>
              <w:rPr>
                <w:rFonts w:ascii="Times New Roman" w:hAnsi="Times New Roman"/>
                <w:b/>
                <w:sz w:val="28"/>
                <w:szCs w:val="28"/>
              </w:rPr>
              <w:t xml:space="preserve"> </w:t>
            </w:r>
            <w:r w:rsidR="00BA5AE8">
              <w:rPr>
                <w:rFonts w:ascii="Times New Roman" w:hAnsi="Times New Roman"/>
                <w:b/>
                <w:sz w:val="28"/>
                <w:szCs w:val="28"/>
              </w:rPr>
              <w:t>Д</w:t>
            </w:r>
            <w:r>
              <w:rPr>
                <w:rFonts w:ascii="Times New Roman" w:hAnsi="Times New Roman"/>
                <w:b/>
                <w:sz w:val="28"/>
                <w:szCs w:val="28"/>
              </w:rPr>
              <w:t xml:space="preserve">иректор </w:t>
            </w:r>
          </w:p>
          <w:p w:rsidR="00512CFA" w:rsidRPr="00B60C23" w:rsidRDefault="0039024E" w:rsidP="00BA5AE8">
            <w:pPr>
              <w:pStyle w:val="ac"/>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sidR="00BA5AE8">
              <w:rPr>
                <w:rFonts w:ascii="Times New Roman" w:hAnsi="Times New Roman"/>
                <w:b/>
                <w:sz w:val="28"/>
                <w:szCs w:val="28"/>
              </w:rPr>
              <w:t>Прибрежный</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BA5AE8">
              <w:rPr>
                <w:rFonts w:ascii="Times New Roman" w:hAnsi="Times New Roman"/>
                <w:b/>
                <w:sz w:val="28"/>
                <w:szCs w:val="28"/>
              </w:rPr>
              <w:t>И</w:t>
            </w:r>
            <w:r w:rsidR="0039024E">
              <w:rPr>
                <w:rFonts w:ascii="Times New Roman" w:hAnsi="Times New Roman"/>
                <w:b/>
                <w:sz w:val="28"/>
                <w:szCs w:val="28"/>
              </w:rPr>
              <w:t>.</w:t>
            </w:r>
            <w:r w:rsidR="00BA5AE8">
              <w:rPr>
                <w:rFonts w:ascii="Times New Roman" w:hAnsi="Times New Roman"/>
                <w:b/>
                <w:sz w:val="28"/>
                <w:szCs w:val="28"/>
              </w:rPr>
              <w:t>А</w:t>
            </w:r>
            <w:r w:rsidR="0039024E">
              <w:rPr>
                <w:rFonts w:ascii="Times New Roman" w:hAnsi="Times New Roman"/>
                <w:b/>
                <w:sz w:val="28"/>
                <w:szCs w:val="28"/>
              </w:rPr>
              <w:t xml:space="preserve">. </w:t>
            </w:r>
            <w:r w:rsidR="00BA5AE8">
              <w:rPr>
                <w:rFonts w:ascii="Times New Roman" w:hAnsi="Times New Roman"/>
                <w:b/>
                <w:sz w:val="28"/>
                <w:szCs w:val="28"/>
              </w:rPr>
              <w:t>Журавлев</w:t>
            </w:r>
            <w:r w:rsidR="0039024E">
              <w:rPr>
                <w:rFonts w:ascii="Times New Roman" w:hAnsi="Times New Roman"/>
                <w:b/>
                <w:sz w:val="28"/>
                <w:szCs w:val="28"/>
              </w:rPr>
              <w:t>/</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512CFA" w:rsidRPr="00B60C23"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512CFA" w:rsidRPr="00007243" w:rsidRDefault="0039024E" w:rsidP="00BF341C">
      <w:pPr>
        <w:pStyle w:val="ac"/>
        <w:jc w:val="center"/>
        <w:rPr>
          <w:rFonts w:ascii="Times New Roman" w:hAnsi="Times New Roman"/>
          <w:sz w:val="28"/>
          <w:szCs w:val="28"/>
        </w:rPr>
      </w:pPr>
      <w:r w:rsidRPr="00007243">
        <w:rPr>
          <w:rFonts w:ascii="Times New Roman" w:eastAsiaTheme="minorEastAsia" w:hAnsi="Times New Roman" w:cs="Times New Roman"/>
          <w:sz w:val="28"/>
          <w:szCs w:val="28"/>
          <w:lang w:eastAsia="ru-RU"/>
        </w:rPr>
        <w:t xml:space="preserve">на </w:t>
      </w:r>
      <w:r w:rsidRPr="00007243">
        <w:rPr>
          <w:rFonts w:ascii="Times New Roman" w:eastAsiaTheme="minorEastAsia" w:hAnsi="Times New Roman"/>
          <w:sz w:val="28"/>
          <w:szCs w:val="28"/>
          <w:lang w:eastAsia="ru-RU"/>
        </w:rPr>
        <w:t>выполнение работ по благоустройству</w:t>
      </w:r>
      <w:r w:rsidRPr="00007243">
        <w:rPr>
          <w:rFonts w:ascii="Times New Roman" w:eastAsiaTheme="minorEastAsia" w:hAnsi="Times New Roman" w:cs="Times New Roman"/>
          <w:sz w:val="28"/>
          <w:szCs w:val="28"/>
          <w:lang w:eastAsia="ru-RU"/>
        </w:rPr>
        <w:t xml:space="preserve"> дворовой территории </w:t>
      </w:r>
      <w:r w:rsidRPr="00007243">
        <w:rPr>
          <w:rFonts w:ascii="Times New Roman" w:eastAsiaTheme="minorEastAsia" w:hAnsi="Times New Roman"/>
          <w:sz w:val="28"/>
          <w:szCs w:val="28"/>
          <w:lang w:eastAsia="ru-RU"/>
        </w:rPr>
        <w:t>МКД</w:t>
      </w:r>
      <w:r w:rsidRPr="00007243">
        <w:rPr>
          <w:rFonts w:ascii="Times New Roman" w:eastAsiaTheme="minorEastAsia" w:hAnsi="Times New Roman" w:cs="Times New Roman"/>
          <w:sz w:val="28"/>
          <w:szCs w:val="28"/>
          <w:lang w:eastAsia="ru-RU"/>
        </w:rPr>
        <w:t xml:space="preserve"> по </w:t>
      </w:r>
      <w:r w:rsidR="00BA5AE8" w:rsidRPr="00007243">
        <w:rPr>
          <w:rFonts w:ascii="Times New Roman" w:eastAsiaTheme="minorEastAsia" w:hAnsi="Times New Roman" w:cs="Times New Roman"/>
          <w:sz w:val="28"/>
          <w:szCs w:val="28"/>
          <w:lang w:eastAsia="ru-RU"/>
        </w:rPr>
        <w:t>ул</w:t>
      </w:r>
      <w:r w:rsidRPr="00007243">
        <w:rPr>
          <w:rFonts w:ascii="Times New Roman" w:eastAsiaTheme="minorEastAsia" w:hAnsi="Times New Roman" w:cs="Times New Roman"/>
          <w:sz w:val="28"/>
          <w:szCs w:val="28"/>
          <w:lang w:eastAsia="ru-RU"/>
        </w:rPr>
        <w:t>.</w:t>
      </w:r>
      <w:r w:rsidRPr="00007243">
        <w:rPr>
          <w:rFonts w:ascii="Times New Roman" w:eastAsiaTheme="minorEastAsia" w:hAnsi="Times New Roman"/>
          <w:sz w:val="28"/>
          <w:szCs w:val="28"/>
          <w:lang w:eastAsia="ru-RU"/>
        </w:rPr>
        <w:t xml:space="preserve"> </w:t>
      </w:r>
      <w:r w:rsidR="00BA5AE8" w:rsidRPr="00007243">
        <w:rPr>
          <w:rFonts w:ascii="Times New Roman" w:eastAsiaTheme="minorEastAsia" w:hAnsi="Times New Roman"/>
          <w:sz w:val="28"/>
          <w:szCs w:val="28"/>
          <w:lang w:eastAsia="ru-RU"/>
        </w:rPr>
        <w:t>Заводская 33, 35, 37</w:t>
      </w:r>
      <w:r w:rsidRPr="00007243">
        <w:rPr>
          <w:rFonts w:ascii="Times New Roman" w:eastAsiaTheme="minorEastAsia" w:hAnsi="Times New Roman"/>
          <w:sz w:val="28"/>
          <w:szCs w:val="28"/>
          <w:lang w:eastAsia="ru-RU"/>
        </w:rPr>
        <w:t xml:space="preserve"> в г. Калининграде </w:t>
      </w:r>
    </w:p>
    <w:p w:rsidR="00A06456" w:rsidRPr="00007243" w:rsidRDefault="00A06456" w:rsidP="00A06456">
      <w:pPr>
        <w:jc w:val="center"/>
        <w:rPr>
          <w:rFonts w:ascii="Times New Roman" w:eastAsia="Calibri" w:hAnsi="Times New Roman" w:cs="Times New Roman"/>
          <w:sz w:val="28"/>
          <w:szCs w:val="28"/>
          <w:lang w:eastAsia="en-US"/>
        </w:rPr>
      </w:pPr>
      <w:r w:rsidRPr="00007243">
        <w:rPr>
          <w:rFonts w:ascii="Times New Roman" w:eastAsia="Calibri" w:hAnsi="Times New Roman" w:cs="Times New Roman"/>
          <w:sz w:val="28"/>
          <w:szCs w:val="28"/>
          <w:lang w:eastAsia="en-US"/>
        </w:rPr>
        <w:t>(</w:t>
      </w:r>
      <w:r w:rsidR="005A55C2" w:rsidRPr="00007243">
        <w:rPr>
          <w:rFonts w:ascii="Times New Roman" w:eastAsia="Calibri" w:hAnsi="Times New Roman" w:cs="Times New Roman"/>
          <w:sz w:val="28"/>
          <w:szCs w:val="28"/>
          <w:lang w:eastAsia="en-US"/>
        </w:rPr>
        <w:t xml:space="preserve">по </w:t>
      </w:r>
      <w:r w:rsidR="00700D26" w:rsidRPr="00007243">
        <w:rPr>
          <w:rFonts w:ascii="Times New Roman" w:eastAsia="Calibri" w:hAnsi="Times New Roman" w:cs="Times New Roman"/>
          <w:sz w:val="28"/>
          <w:szCs w:val="28"/>
          <w:lang w:eastAsia="en-US"/>
        </w:rPr>
        <w:t>муниципальной программе</w:t>
      </w:r>
      <w:r w:rsidRPr="00007243">
        <w:rPr>
          <w:rFonts w:ascii="Times New Roman" w:eastAsia="Calibri" w:hAnsi="Times New Roman" w:cs="Times New Roman"/>
          <w:sz w:val="28"/>
          <w:szCs w:val="28"/>
          <w:lang w:eastAsia="en-US"/>
        </w:rPr>
        <w:t xml:space="preserve"> </w:t>
      </w:r>
      <w:r w:rsidR="008E2EE1" w:rsidRPr="00007243">
        <w:rPr>
          <w:rFonts w:ascii="Times New Roman" w:hAnsi="Times New Roman" w:cs="Times New Roman"/>
          <w:sz w:val="28"/>
          <w:szCs w:val="28"/>
        </w:rPr>
        <w:t xml:space="preserve">«Формирование </w:t>
      </w:r>
      <w:r w:rsidR="0047134F" w:rsidRPr="00007243">
        <w:rPr>
          <w:rFonts w:ascii="Times New Roman" w:hAnsi="Times New Roman" w:cs="Times New Roman"/>
          <w:sz w:val="28"/>
          <w:szCs w:val="28"/>
        </w:rPr>
        <w:t xml:space="preserve">современной </w:t>
      </w:r>
      <w:r w:rsidRPr="00007243">
        <w:rPr>
          <w:rFonts w:ascii="Times New Roman" w:hAnsi="Times New Roman" w:cs="Times New Roman"/>
          <w:sz w:val="28"/>
          <w:szCs w:val="28"/>
        </w:rPr>
        <w:t>городской среды городского округа «Город Калининград</w:t>
      </w:r>
      <w:r w:rsidRPr="00007243">
        <w:rPr>
          <w:rFonts w:ascii="Times New Roman" w:eastAsia="Calibri" w:hAnsi="Times New Roman" w:cs="Times New Roman"/>
          <w:sz w:val="28"/>
          <w:szCs w:val="28"/>
          <w:lang w:eastAsia="en-US"/>
        </w:rPr>
        <w:t>»)</w:t>
      </w:r>
      <w:r w:rsidR="00007243" w:rsidRPr="00007243">
        <w:rPr>
          <w:rFonts w:ascii="Times New Roman" w:eastAsia="Calibri" w:hAnsi="Times New Roman" w:cs="Times New Roman"/>
          <w:sz w:val="28"/>
          <w:szCs w:val="28"/>
          <w:lang w:eastAsia="en-US"/>
        </w:rPr>
        <w:t>. Дополнительные работы.</w:t>
      </w:r>
    </w:p>
    <w:p w:rsidR="00670D16" w:rsidRDefault="00512CFA" w:rsidP="00670D16">
      <w:pPr>
        <w:pStyle w:val="ac"/>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 п/п</w:t>
            </w:r>
          </w:p>
        </w:tc>
        <w:tc>
          <w:tcPr>
            <w:tcW w:w="4254" w:type="dxa"/>
            <w:vAlign w:val="center"/>
          </w:tcPr>
          <w:p w:rsidR="00512CFA" w:rsidRPr="00B60C23" w:rsidRDefault="00512CFA" w:rsidP="0040475D">
            <w:pPr>
              <w:pStyle w:val="ac"/>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c"/>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512CFA" w:rsidRPr="00B60C23" w:rsidRDefault="00512CFA" w:rsidP="00BA5AE8">
            <w:pPr>
              <w:ind w:firstLine="708"/>
              <w:jc w:val="both"/>
              <w:rPr>
                <w:rFonts w:ascii="Times New Roman" w:hAnsi="Times New Roman"/>
                <w:sz w:val="28"/>
                <w:szCs w:val="28"/>
                <w:lang w:eastAsia="ar-SA"/>
              </w:rPr>
            </w:pPr>
            <w:r w:rsidRPr="00B60C23">
              <w:rPr>
                <w:rFonts w:ascii="Times New Roman" w:hAnsi="Times New Roman"/>
                <w:sz w:val="28"/>
                <w:szCs w:val="28"/>
              </w:rPr>
              <w:t xml:space="preserve">Дворовая территория по адресу:                 </w:t>
            </w:r>
            <w:r w:rsidR="00BA5AE8">
              <w:rPr>
                <w:rFonts w:ascii="Times New Roman" w:hAnsi="Times New Roman"/>
                <w:sz w:val="28"/>
                <w:szCs w:val="28"/>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д.33, 35, 37.</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c"/>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BA5AE8">
            <w:pPr>
              <w:pStyle w:val="ac"/>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BA5AE8">
              <w:rPr>
                <w:rFonts w:ascii="Times New Roman" w:hAnsi="Times New Roman"/>
                <w:b/>
                <w:sz w:val="28"/>
                <w:szCs w:val="28"/>
              </w:rPr>
              <w:t>Прибрежный</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c"/>
              <w:snapToGrid w:val="0"/>
              <w:spacing w:before="40" w:after="40"/>
              <w:jc w:val="center"/>
              <w:rPr>
                <w:rFonts w:ascii="Times New Roman" w:hAnsi="Times New Roman"/>
                <w:sz w:val="28"/>
                <w:szCs w:val="28"/>
              </w:rPr>
            </w:pPr>
            <w:r w:rsidRPr="00B60C23">
              <w:rPr>
                <w:rFonts w:ascii="Times New Roman" w:hAnsi="Times New Roman"/>
                <w:sz w:val="28"/>
                <w:szCs w:val="28"/>
              </w:rPr>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BA5AE8" w:rsidRDefault="00BA5AE8" w:rsidP="00EB1839">
      <w:pPr>
        <w:pStyle w:val="a9"/>
        <w:spacing w:before="120" w:after="120" w:line="240" w:lineRule="auto"/>
        <w:ind w:left="0"/>
        <w:jc w:val="center"/>
        <w:rPr>
          <w:rFonts w:ascii="Times New Roman" w:hAnsi="Times New Roman" w:cs="Times New Roman"/>
          <w:b/>
          <w:sz w:val="28"/>
          <w:szCs w:val="28"/>
        </w:rPr>
      </w:pPr>
    </w:p>
    <w:p w:rsidR="00512CFA" w:rsidRDefault="00512CFA" w:rsidP="00670D16">
      <w:pPr>
        <w:pStyle w:val="a9"/>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lastRenderedPageBreak/>
        <w:t>Технические условия и требования.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60C23" w:rsidRDefault="00512CFA" w:rsidP="00C848C8">
            <w:pPr>
              <w:ind w:firstLine="708"/>
              <w:jc w:val="both"/>
              <w:rPr>
                <w:rFonts w:ascii="Times New Roman" w:hAnsi="Times New Roman"/>
                <w:b/>
                <w:sz w:val="28"/>
                <w:szCs w:val="28"/>
              </w:rPr>
            </w:pPr>
            <w:r w:rsidRPr="00B60C23">
              <w:rPr>
                <w:rFonts w:ascii="Times New Roman" w:hAnsi="Times New Roman"/>
                <w:sz w:val="28"/>
                <w:szCs w:val="28"/>
              </w:rPr>
              <w:t xml:space="preserve">Необходимо выполнить </w:t>
            </w:r>
            <w:r w:rsidR="00C848C8">
              <w:rPr>
                <w:rFonts w:ascii="Times New Roman" w:hAnsi="Times New Roman"/>
                <w:sz w:val="28"/>
                <w:szCs w:val="28"/>
              </w:rPr>
              <w:t>ремонт подпорной стенки</w:t>
            </w:r>
            <w:r w:rsidRPr="00B60C23">
              <w:rPr>
                <w:rFonts w:ascii="Times New Roman" w:hAnsi="Times New Roman"/>
                <w:sz w:val="28"/>
                <w:szCs w:val="28"/>
              </w:rPr>
              <w:t xml:space="preserve"> по адресу:</w:t>
            </w:r>
            <w:r w:rsidR="00CA01AA">
              <w:rPr>
                <w:rFonts w:ascii="Times New Roman" w:hAnsi="Times New Roman"/>
                <w:sz w:val="28"/>
                <w:szCs w:val="28"/>
              </w:rPr>
              <w:t xml:space="preserve"> </w:t>
            </w:r>
            <w:r w:rsidR="00BA5AE8">
              <w:rPr>
                <w:rFonts w:ascii="Times New Roman" w:eastAsiaTheme="minorEastAsia" w:hAnsi="Times New Roman"/>
                <w:sz w:val="28"/>
                <w:szCs w:val="28"/>
                <w:lang w:eastAsia="ru-RU"/>
              </w:rPr>
              <w:t>ул</w:t>
            </w:r>
            <w:r w:rsidR="0039024E" w:rsidRPr="009F2D95">
              <w:rPr>
                <w:rFonts w:ascii="Times New Roman" w:eastAsiaTheme="minorEastAsia" w:hAnsi="Times New Roman" w:cs="Times New Roman"/>
                <w:sz w:val="28"/>
                <w:szCs w:val="28"/>
                <w:lang w:eastAsia="ru-RU"/>
              </w:rPr>
              <w:t>.</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Заводская</w:t>
            </w:r>
            <w:r w:rsidR="0039024E">
              <w:rPr>
                <w:rFonts w:ascii="Times New Roman" w:eastAsiaTheme="minorEastAsia" w:hAnsi="Times New Roman"/>
                <w:sz w:val="28"/>
                <w:szCs w:val="28"/>
                <w:lang w:eastAsia="ru-RU"/>
              </w:rPr>
              <w:t xml:space="preserve">, </w:t>
            </w:r>
            <w:r w:rsidR="00BA5AE8">
              <w:rPr>
                <w:rFonts w:ascii="Times New Roman" w:eastAsiaTheme="minorEastAsia" w:hAnsi="Times New Roman"/>
                <w:sz w:val="28"/>
                <w:szCs w:val="28"/>
                <w:lang w:eastAsia="ru-RU"/>
              </w:rPr>
              <w:t xml:space="preserve"> 37</w:t>
            </w:r>
            <w:r w:rsidR="0039024E">
              <w:rPr>
                <w:rFonts w:ascii="Times New Roman" w:eastAsiaTheme="minorEastAsia" w:hAnsi="Times New Roman"/>
                <w:sz w:val="28"/>
                <w:szCs w:val="28"/>
                <w:lang w:eastAsia="ru-RU"/>
              </w:rPr>
              <w:t xml:space="preserve"> </w:t>
            </w:r>
            <w:r w:rsidR="00F766CD" w:rsidRPr="005B0B30">
              <w:rPr>
                <w:rFonts w:ascii="Times New Roman" w:eastAsia="Calibri" w:hAnsi="Times New Roman" w:cs="Times New Roman"/>
                <w:sz w:val="28"/>
                <w:szCs w:val="28"/>
                <w:lang w:eastAsia="en-US"/>
              </w:rPr>
              <w:t>в г. Калининграде</w:t>
            </w:r>
            <w:r w:rsidR="003028B1">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C848C8">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c"/>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произвести местное </w:t>
            </w:r>
            <w:proofErr w:type="spellStart"/>
            <w:r w:rsidRPr="00B60C23">
              <w:rPr>
                <w:rFonts w:ascii="Times New Roman" w:hAnsi="Times New Roman"/>
                <w:color w:val="000000"/>
                <w:sz w:val="28"/>
                <w:szCs w:val="28"/>
              </w:rPr>
              <w:t>шурфирование</w:t>
            </w:r>
            <w:proofErr w:type="spellEnd"/>
            <w:r w:rsidRPr="00B60C23">
              <w:rPr>
                <w:rFonts w:ascii="Times New Roman" w:hAnsi="Times New Roman"/>
                <w:color w:val="000000"/>
                <w:sz w:val="28"/>
                <w:szCs w:val="28"/>
              </w:rPr>
              <w:t xml:space="preserve"> дворовой территории </w:t>
            </w:r>
            <w:r w:rsidR="00736B69">
              <w:rPr>
                <w:rFonts w:ascii="Times New Roman" w:hAnsi="Times New Roman"/>
                <w:color w:val="000000"/>
                <w:sz w:val="28"/>
                <w:szCs w:val="28"/>
              </w:rPr>
              <w:t xml:space="preserve">в границах производства работ </w:t>
            </w:r>
            <w:r w:rsidRPr="00B60C23">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60C23">
              <w:rPr>
                <w:rFonts w:ascii="Times New Roman" w:hAnsi="Times New Roman"/>
                <w:color w:val="000000"/>
                <w:sz w:val="28"/>
                <w:szCs w:val="28"/>
              </w:rPr>
              <w:t>расклинцовкой</w:t>
            </w:r>
            <w:proofErr w:type="spellEnd"/>
            <w:r w:rsidRPr="00B60C23">
              <w:rPr>
                <w:rFonts w:ascii="Times New Roman" w:hAnsi="Times New Roman"/>
                <w:color w:val="000000"/>
                <w:sz w:val="28"/>
                <w:szCs w:val="28"/>
              </w:rPr>
              <w:t xml:space="preserve"> и последующим уплотнением. </w:t>
            </w:r>
          </w:p>
          <w:p w:rsidR="00512CFA" w:rsidRPr="00B60C23"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по результату </w:t>
            </w:r>
            <w:proofErr w:type="spellStart"/>
            <w:r w:rsidRPr="00B60C23">
              <w:rPr>
                <w:rFonts w:ascii="Times New Roman" w:hAnsi="Times New Roman"/>
                <w:color w:val="000000"/>
                <w:sz w:val="28"/>
                <w:szCs w:val="28"/>
              </w:rPr>
              <w:t>шурфирования</w:t>
            </w:r>
            <w:proofErr w:type="spellEnd"/>
            <w:r w:rsidRPr="00B60C23">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60C23"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Default="003028B1" w:rsidP="0040475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Благоустройство</w:t>
            </w:r>
            <w:r w:rsidR="00512CFA" w:rsidRPr="00B60C23">
              <w:rPr>
                <w:rFonts w:ascii="Times New Roman" w:hAnsi="Times New Roman"/>
                <w:color w:val="000000"/>
                <w:sz w:val="28"/>
                <w:szCs w:val="28"/>
              </w:rPr>
              <w:t xml:space="preserve"> дворовой территории начинать с момента получения Ордера на раскопки.</w:t>
            </w:r>
            <w:r w:rsidR="005D5077">
              <w:rPr>
                <w:rFonts w:ascii="Times New Roman" w:hAnsi="Times New Roman"/>
                <w:color w:val="000000"/>
                <w:sz w:val="28"/>
                <w:szCs w:val="28"/>
              </w:rPr>
              <w:t xml:space="preserve"> Во время оформления ордера на раскопки разработать проект организации капитального ремонта.</w:t>
            </w:r>
          </w:p>
          <w:p w:rsidR="00FD50F0" w:rsidRPr="00B60C23" w:rsidRDefault="00FD50F0" w:rsidP="00AD210D">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Срок оформлен</w:t>
            </w:r>
            <w:r w:rsidR="00AD210D">
              <w:rPr>
                <w:rFonts w:ascii="Times New Roman" w:hAnsi="Times New Roman"/>
                <w:color w:val="000000"/>
                <w:sz w:val="28"/>
                <w:szCs w:val="28"/>
              </w:rPr>
              <w:t>ия ордера на раскопки не более 15</w:t>
            </w:r>
            <w:r>
              <w:rPr>
                <w:rFonts w:ascii="Times New Roman" w:hAnsi="Times New Roman"/>
                <w:color w:val="000000"/>
                <w:sz w:val="28"/>
                <w:szCs w:val="28"/>
              </w:rPr>
              <w:t xml:space="preserve"> календарных дней.</w:t>
            </w:r>
          </w:p>
        </w:tc>
      </w:tr>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Подрядчик в период производства работ несет полную ответственность за:</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сохранность строительных материалов, оборудования, инвентаря;</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безопасности движения в границах производства работ;</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60C23"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60C23"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р</w:t>
            </w:r>
            <w:r w:rsidRPr="00B60C23">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Pr>
                <w:rFonts w:ascii="Times New Roman" w:hAnsi="Times New Roman" w:cs="Times New Roman"/>
                <w:sz w:val="28"/>
                <w:szCs w:val="28"/>
              </w:rPr>
              <w:t>Управлением</w:t>
            </w:r>
            <w:r w:rsidRPr="00B60C23">
              <w:rPr>
                <w:rFonts w:ascii="Times New Roman" w:hAnsi="Times New Roman" w:cs="Times New Roman"/>
                <w:sz w:val="28"/>
                <w:szCs w:val="28"/>
              </w:rPr>
              <w:t xml:space="preserve"> ГИБДД</w:t>
            </w:r>
            <w:r w:rsidR="003028B1">
              <w:rPr>
                <w:rFonts w:ascii="Times New Roman" w:hAnsi="Times New Roman" w:cs="Times New Roman"/>
                <w:sz w:val="28"/>
                <w:szCs w:val="28"/>
              </w:rPr>
              <w:t xml:space="preserve"> УМВД РОССИИ по Калининградской области</w:t>
            </w:r>
            <w:r w:rsidRPr="00B60C23">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E24018"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письменному согласованию с Заказчиком работы могут производиться в</w:t>
            </w:r>
          </w:p>
          <w:p w:rsidR="00E24018" w:rsidRDefault="00E24018" w:rsidP="0040475D">
            <w:pPr>
              <w:tabs>
                <w:tab w:val="left" w:pos="1260"/>
              </w:tabs>
              <w:snapToGrid w:val="0"/>
              <w:spacing w:before="60" w:after="60" w:line="240" w:lineRule="auto"/>
              <w:jc w:val="both"/>
              <w:rPr>
                <w:rFonts w:ascii="Times New Roman" w:hAnsi="Times New Roman"/>
                <w:color w:val="000000"/>
                <w:sz w:val="28"/>
                <w:szCs w:val="28"/>
              </w:rPr>
            </w:pPr>
          </w:p>
          <w:p w:rsidR="00512CFA" w:rsidRPr="00B60C23"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 выходные и праздничные дни с учетом соответствующих требований законодательства РФ. Очередность выполнения работы должна быть </w:t>
            </w:r>
            <w:r w:rsidRPr="00B60C23">
              <w:rPr>
                <w:rFonts w:ascii="Times New Roman" w:hAnsi="Times New Roman"/>
                <w:color w:val="000000"/>
                <w:sz w:val="28"/>
                <w:szCs w:val="28"/>
              </w:rPr>
              <w:lastRenderedPageBreak/>
              <w:t>согласована с заказчиком.</w:t>
            </w:r>
          </w:p>
        </w:tc>
      </w:tr>
      <w:tr w:rsidR="00512CFA" w:rsidRPr="00B60C23" w:rsidTr="00B224AE">
        <w:trPr>
          <w:jc w:val="center"/>
        </w:trPr>
        <w:tc>
          <w:tcPr>
            <w:tcW w:w="567" w:type="dxa"/>
          </w:tcPr>
          <w:p w:rsidR="00512CFA" w:rsidRPr="00B60C23" w:rsidRDefault="00512CFA" w:rsidP="0040475D">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60C23"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60C23"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Требования к применяемым материалам при выполнении работ:</w:t>
            </w:r>
          </w:p>
          <w:p w:rsidR="00151604" w:rsidRPr="00B60C23" w:rsidRDefault="00A6420C" w:rsidP="009E4B77">
            <w:pPr>
              <w:tabs>
                <w:tab w:val="left" w:pos="1260"/>
              </w:tabs>
              <w:snapToGrid w:val="0"/>
              <w:spacing w:before="60" w:after="60" w:line="240" w:lineRule="auto"/>
              <w:jc w:val="both"/>
              <w:rPr>
                <w:rFonts w:ascii="Times New Roman" w:hAnsi="Times New Roman"/>
                <w:color w:val="000000"/>
                <w:sz w:val="28"/>
                <w:szCs w:val="28"/>
              </w:rPr>
            </w:pPr>
            <w:r>
              <w:rPr>
                <w:rFonts w:ascii="Times New Roman" w:hAnsi="Times New Roman"/>
                <w:color w:val="000000"/>
                <w:sz w:val="28"/>
                <w:szCs w:val="28"/>
              </w:rPr>
              <w:t>ГОСТ 251</w:t>
            </w:r>
            <w:r w:rsidR="00151604">
              <w:rPr>
                <w:rFonts w:ascii="Times New Roman" w:hAnsi="Times New Roman"/>
                <w:color w:val="000000"/>
                <w:sz w:val="28"/>
                <w:szCs w:val="28"/>
              </w:rPr>
              <w:t>92</w:t>
            </w:r>
            <w:r>
              <w:rPr>
                <w:rFonts w:ascii="Times New Roman" w:hAnsi="Times New Roman"/>
                <w:color w:val="000000"/>
                <w:sz w:val="28"/>
                <w:szCs w:val="28"/>
              </w:rPr>
              <w:t>.</w:t>
            </w:r>
            <w:r w:rsidR="00151604">
              <w:rPr>
                <w:rFonts w:ascii="Times New Roman" w:hAnsi="Times New Roman"/>
                <w:color w:val="000000"/>
                <w:sz w:val="28"/>
                <w:szCs w:val="28"/>
              </w:rPr>
              <w:t>-20</w:t>
            </w:r>
            <w:r>
              <w:rPr>
                <w:rFonts w:ascii="Times New Roman" w:hAnsi="Times New Roman"/>
                <w:color w:val="000000"/>
                <w:sz w:val="28"/>
                <w:szCs w:val="28"/>
              </w:rPr>
              <w:t xml:space="preserve">12 </w:t>
            </w:r>
            <w:r w:rsidR="00151604">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Pr>
                <w:rFonts w:ascii="Times New Roman" w:hAnsi="Times New Roman"/>
                <w:color w:val="000000"/>
                <w:sz w:val="28"/>
                <w:szCs w:val="28"/>
              </w:rPr>
              <w:t>гравийно</w:t>
            </w:r>
            <w:proofErr w:type="spellEnd"/>
            <w:r w:rsidR="00151604">
              <w:rPr>
                <w:rFonts w:ascii="Times New Roman" w:hAnsi="Times New Roman"/>
                <w:color w:val="000000"/>
                <w:sz w:val="28"/>
                <w:szCs w:val="28"/>
              </w:rPr>
              <w:t xml:space="preserve"> песчаные для покрытий и </w:t>
            </w:r>
            <w:proofErr w:type="gramStart"/>
            <w:r w:rsidR="00151604">
              <w:rPr>
                <w:rFonts w:ascii="Times New Roman" w:hAnsi="Times New Roman"/>
                <w:color w:val="000000"/>
                <w:sz w:val="28"/>
                <w:szCs w:val="28"/>
              </w:rPr>
              <w:t>оснований</w:t>
            </w:r>
            <w:proofErr w:type="gramEnd"/>
            <w:r w:rsidR="00151604">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все строительные материалы, изделия и оборудование</w:t>
            </w:r>
            <w:r w:rsidR="00736B69">
              <w:rPr>
                <w:rFonts w:ascii="Times New Roman" w:hAnsi="Times New Roman"/>
                <w:color w:val="000000"/>
                <w:sz w:val="28"/>
                <w:szCs w:val="28"/>
              </w:rPr>
              <w:t xml:space="preserve">, используемые для выполнения </w:t>
            </w:r>
            <w:r w:rsidRPr="00B60C23">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c"/>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c"/>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60C23"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r w:rsidR="00FD50F0">
              <w:rPr>
                <w:rFonts w:ascii="Times New Roman" w:hAnsi="Times New Roman"/>
                <w:color w:val="000000"/>
                <w:sz w:val="28"/>
                <w:szCs w:val="28"/>
              </w:rPr>
              <w:t>.</w:t>
            </w:r>
            <w:r w:rsidRPr="00B60C23">
              <w:rPr>
                <w:rFonts w:ascii="Times New Roman" w:hAnsi="Times New Roman"/>
                <w:color w:val="000000"/>
                <w:sz w:val="28"/>
                <w:szCs w:val="28"/>
              </w:rPr>
              <w:t xml:space="preserve"> а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Pr>
                <w:rFonts w:ascii="Times New Roman" w:hAnsi="Times New Roman"/>
                <w:color w:val="000000"/>
                <w:sz w:val="28"/>
                <w:szCs w:val="28"/>
              </w:rPr>
              <w:t xml:space="preserve">СНиП 21.01.97 «Пожарная безопасность зданий и сооружений», </w:t>
            </w:r>
            <w:r w:rsidRPr="00B60C23">
              <w:rPr>
                <w:rFonts w:ascii="Times New Roman" w:hAnsi="Times New Roman"/>
                <w:color w:val="000000"/>
                <w:sz w:val="28"/>
                <w:szCs w:val="28"/>
              </w:rPr>
              <w:t xml:space="preserve">СНиП 12-03-2001 "Безопасность труда в строительстве", часть 1; СНиП 12-04-2002 "Безопасность труда в строительстве", часть 2, </w:t>
            </w:r>
            <w:r w:rsidR="00A6420C">
              <w:rPr>
                <w:rFonts w:ascii="Times New Roman" w:hAnsi="Times New Roman"/>
                <w:color w:val="000000"/>
                <w:sz w:val="28"/>
                <w:szCs w:val="28"/>
              </w:rPr>
              <w:t xml:space="preserve">ТР 158-04 «Технические рекомендации по устройству тротуаров из бетонных плит», </w:t>
            </w:r>
            <w:r w:rsidRPr="00B60C23">
              <w:rPr>
                <w:rFonts w:ascii="Times New Roman" w:hAnsi="Times New Roman"/>
                <w:color w:val="000000"/>
                <w:sz w:val="28"/>
                <w:szCs w:val="28"/>
              </w:rPr>
              <w:t xml:space="preserve">а также выполнение ведомственных правил по технике безопасности, охране </w:t>
            </w:r>
            <w:r w:rsidRPr="00B60C23">
              <w:rPr>
                <w:rFonts w:ascii="Times New Roman" w:hAnsi="Times New Roman"/>
                <w:color w:val="000000"/>
                <w:sz w:val="28"/>
                <w:szCs w:val="28"/>
              </w:rPr>
              <w:lastRenderedPageBreak/>
              <w:t>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60C23" w:rsidRDefault="00512CFA" w:rsidP="00AD210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Все конструктивные узлы согласовываются с Заказчиком и </w:t>
            </w:r>
            <w:r w:rsidR="003028B1">
              <w:rPr>
                <w:rFonts w:ascii="Times New Roman" w:hAnsi="Times New Roman"/>
                <w:color w:val="000000"/>
                <w:sz w:val="28"/>
                <w:szCs w:val="28"/>
              </w:rPr>
              <w:t>Тех. заказчиком МКУ «КР МКД».</w:t>
            </w:r>
            <w:r w:rsidRPr="00B60C23">
              <w:rPr>
                <w:rFonts w:ascii="Times New Roman" w:hAnsi="Times New Roman"/>
                <w:color w:val="000000"/>
                <w:sz w:val="28"/>
                <w:szCs w:val="28"/>
              </w:rPr>
              <w:t xml:space="preserve"> Подрядчик обязан до начала производства работ предоставить</w:t>
            </w:r>
            <w:r w:rsidR="00F64D72">
              <w:rPr>
                <w:rFonts w:ascii="Times New Roman" w:hAnsi="Times New Roman"/>
                <w:color w:val="000000"/>
                <w:sz w:val="28"/>
                <w:szCs w:val="28"/>
              </w:rPr>
              <w:t xml:space="preserve"> образцы применяемых материалов</w:t>
            </w:r>
            <w:r w:rsidR="00AD210D">
              <w:rPr>
                <w:rFonts w:ascii="Times New Roman" w:hAnsi="Times New Roman"/>
                <w:color w:val="000000"/>
                <w:sz w:val="28"/>
                <w:szCs w:val="28"/>
              </w:rPr>
              <w:t xml:space="preserve"> </w:t>
            </w:r>
            <w:r w:rsidR="00F64D72">
              <w:rPr>
                <w:rFonts w:ascii="Times New Roman" w:hAnsi="Times New Roman"/>
                <w:color w:val="000000"/>
                <w:sz w:val="28"/>
                <w:szCs w:val="28"/>
              </w:rPr>
              <w:t>и согласовать</w:t>
            </w:r>
            <w:r w:rsidR="00F64D72" w:rsidRPr="00B60C23">
              <w:rPr>
                <w:rFonts w:ascii="Times New Roman" w:hAnsi="Times New Roman"/>
                <w:color w:val="000000"/>
                <w:sz w:val="28"/>
                <w:szCs w:val="28"/>
              </w:rPr>
              <w:t xml:space="preserve"> </w:t>
            </w:r>
            <w:r w:rsidRPr="00B60C23">
              <w:rPr>
                <w:rFonts w:ascii="Times New Roman" w:hAnsi="Times New Roman"/>
                <w:color w:val="000000"/>
                <w:sz w:val="28"/>
                <w:szCs w:val="28"/>
              </w:rPr>
              <w:t>с Заказчиком</w:t>
            </w:r>
            <w:r w:rsidR="00F64D72">
              <w:rPr>
                <w:rFonts w:ascii="Times New Roman" w:hAnsi="Times New Roman"/>
                <w:color w:val="000000"/>
                <w:sz w:val="28"/>
                <w:szCs w:val="28"/>
              </w:rPr>
              <w:t xml:space="preserve"> Тех. заказчиком </w:t>
            </w:r>
            <w:r w:rsidR="00F64D72" w:rsidRPr="00B60C23">
              <w:rPr>
                <w:rFonts w:ascii="Times New Roman" w:hAnsi="Times New Roman"/>
                <w:color w:val="000000"/>
                <w:sz w:val="28"/>
                <w:szCs w:val="28"/>
              </w:rPr>
              <w:t>МКУ «КР МКД»</w:t>
            </w:r>
            <w:r w:rsidRPr="00B60C23">
              <w:rPr>
                <w:rFonts w:ascii="Times New Roman" w:hAnsi="Times New Roman"/>
                <w:color w:val="000000"/>
                <w:sz w:val="28"/>
                <w:szCs w:val="28"/>
              </w:rPr>
              <w:t>.</w:t>
            </w:r>
            <w:r w:rsidR="003028B1">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Во время производства строительно-монтажных работ, Заказчик или </w:t>
            </w:r>
            <w:r w:rsidR="003028B1">
              <w:rPr>
                <w:rFonts w:ascii="Times New Roman" w:hAnsi="Times New Roman"/>
                <w:color w:val="000000"/>
                <w:sz w:val="28"/>
                <w:szCs w:val="28"/>
              </w:rPr>
              <w:t xml:space="preserve">Тех. заказчик </w:t>
            </w:r>
            <w:r w:rsidRPr="00B60C23">
              <w:rPr>
                <w:rFonts w:ascii="Times New Roman" w:hAnsi="Times New Roman"/>
                <w:color w:val="000000"/>
                <w:sz w:val="28"/>
                <w:szCs w:val="28"/>
              </w:rPr>
              <w:t>МКУ «КР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60C23"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39024E" w:rsidRPr="00B60C23" w:rsidRDefault="00FD50F0" w:rsidP="00AD210D">
            <w:pPr>
              <w:tabs>
                <w:tab w:val="left" w:pos="1260"/>
              </w:tabs>
              <w:snapToGrid w:val="0"/>
              <w:spacing w:before="60" w:after="60" w:line="240" w:lineRule="auto"/>
              <w:jc w:val="both"/>
              <w:rPr>
                <w:rFonts w:ascii="Times New Roman" w:hAnsi="Times New Roman"/>
                <w:color w:val="000000"/>
                <w:sz w:val="28"/>
                <w:szCs w:val="28"/>
              </w:rPr>
            </w:pPr>
            <w:r w:rsidRPr="00B60C23">
              <w:rPr>
                <w:rFonts w:ascii="Times New Roman" w:hAnsi="Times New Roman"/>
                <w:color w:val="000000"/>
                <w:sz w:val="28"/>
                <w:szCs w:val="28"/>
              </w:rPr>
              <w:t xml:space="preserve">Сроки выполнения работ: </w:t>
            </w:r>
            <w:r w:rsidR="00FB6A95">
              <w:rPr>
                <w:rFonts w:ascii="Times New Roman" w:hAnsi="Times New Roman"/>
                <w:b/>
                <w:color w:val="000000"/>
                <w:sz w:val="28"/>
                <w:szCs w:val="28"/>
              </w:rPr>
              <w:t>60</w:t>
            </w:r>
            <w:r w:rsidRPr="00CE1E04">
              <w:rPr>
                <w:rFonts w:ascii="Times New Roman" w:hAnsi="Times New Roman"/>
                <w:b/>
                <w:color w:val="000000"/>
                <w:sz w:val="28"/>
                <w:szCs w:val="28"/>
              </w:rPr>
              <w:t xml:space="preserve"> календарных дней</w:t>
            </w:r>
            <w:r>
              <w:rPr>
                <w:rFonts w:ascii="Times New Roman" w:hAnsi="Times New Roman"/>
                <w:color w:val="000000"/>
                <w:sz w:val="28"/>
                <w:szCs w:val="28"/>
              </w:rPr>
              <w:t xml:space="preserve"> с учетом климатологии, их них</w:t>
            </w:r>
            <w:r w:rsidRPr="00B60C23">
              <w:rPr>
                <w:rFonts w:ascii="Times New Roman" w:hAnsi="Times New Roman"/>
                <w:color w:val="000000"/>
                <w:sz w:val="28"/>
                <w:szCs w:val="28"/>
              </w:rPr>
              <w:t xml:space="preserve">: </w:t>
            </w:r>
            <w:r w:rsidR="00AD210D">
              <w:rPr>
                <w:rFonts w:ascii="Times New Roman" w:hAnsi="Times New Roman"/>
                <w:color w:val="000000"/>
                <w:sz w:val="28"/>
                <w:szCs w:val="28"/>
              </w:rPr>
              <w:t>5</w:t>
            </w:r>
            <w:r w:rsidR="00B06328">
              <w:rPr>
                <w:rFonts w:ascii="Times New Roman" w:hAnsi="Times New Roman"/>
                <w:color w:val="000000"/>
                <w:sz w:val="28"/>
                <w:szCs w:val="28"/>
              </w:rPr>
              <w:t>0</w:t>
            </w:r>
            <w:r w:rsidRPr="00B60C23">
              <w:rPr>
                <w:rFonts w:ascii="Times New Roman" w:hAnsi="Times New Roman"/>
                <w:color w:val="000000"/>
                <w:sz w:val="28"/>
                <w:szCs w:val="28"/>
              </w:rPr>
              <w:t xml:space="preserve"> календарных дн</w:t>
            </w:r>
            <w:r w:rsidR="00AD210D">
              <w:rPr>
                <w:rFonts w:ascii="Times New Roman" w:hAnsi="Times New Roman"/>
                <w:color w:val="000000"/>
                <w:sz w:val="28"/>
                <w:szCs w:val="28"/>
              </w:rPr>
              <w:t>ей</w:t>
            </w:r>
            <w:r w:rsidRPr="00B60C23">
              <w:rPr>
                <w:rFonts w:ascii="Times New Roman" w:hAnsi="Times New Roman"/>
                <w:color w:val="000000"/>
                <w:sz w:val="28"/>
                <w:szCs w:val="28"/>
              </w:rPr>
              <w:t xml:space="preserve"> - производство работ, </w:t>
            </w:r>
            <w:r w:rsidR="00B06328">
              <w:rPr>
                <w:rFonts w:ascii="Times New Roman" w:hAnsi="Times New Roman"/>
                <w:color w:val="000000"/>
                <w:sz w:val="28"/>
                <w:szCs w:val="28"/>
              </w:rPr>
              <w:t>10</w:t>
            </w:r>
            <w:r w:rsidRPr="00B60C23">
              <w:rPr>
                <w:rFonts w:ascii="Times New Roman" w:hAnsi="Times New Roman"/>
                <w:color w:val="000000"/>
                <w:sz w:val="28"/>
                <w:szCs w:val="28"/>
              </w:rPr>
              <w:t xml:space="preserve"> календарных дней – подготовка исполнительной документации, КС2, КС-3.</w:t>
            </w:r>
            <w:r>
              <w:rPr>
                <w:rFonts w:ascii="Times New Roman" w:hAnsi="Times New Roman"/>
                <w:color w:val="000000"/>
                <w:sz w:val="28"/>
                <w:szCs w:val="28"/>
              </w:rPr>
              <w:t xml:space="preserve"> Срок выполнения работ исчисляется  с момента получения ордера на раскопки.</w:t>
            </w:r>
          </w:p>
        </w:tc>
      </w:tr>
    </w:tbl>
    <w:p w:rsidR="00FD50F0" w:rsidRDefault="00FD50F0" w:rsidP="00971C6D">
      <w:pPr>
        <w:pStyle w:val="ac"/>
        <w:spacing w:line="240" w:lineRule="atLeast"/>
        <w:ind w:left="284"/>
        <w:jc w:val="both"/>
        <w:rPr>
          <w:rFonts w:ascii="Times New Roman" w:hAnsi="Times New Roman" w:cs="Times New Roman"/>
          <w:sz w:val="28"/>
          <w:szCs w:val="28"/>
        </w:rPr>
      </w:pPr>
    </w:p>
    <w:p w:rsidR="009F5B8B" w:rsidRPr="009F5B8B" w:rsidRDefault="009F5B8B" w:rsidP="00A7788B">
      <w:pPr>
        <w:pStyle w:val="ac"/>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c"/>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639"/>
      </w:tblGrid>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Бетон тяжелый, класс: В15 (М200)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2</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Бетон тяжелый, класс: В7,</w:t>
            </w:r>
            <w:r w:rsidRPr="008F1A14">
              <w:rPr>
                <w:rFonts w:ascii="Times New Roman" w:hAnsi="Times New Roman" w:cs="Times New Roman"/>
                <w:sz w:val="28"/>
                <w:szCs w:val="28"/>
              </w:rPr>
              <w:t>5 (М200)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3</w:t>
            </w:r>
          </w:p>
        </w:tc>
        <w:tc>
          <w:tcPr>
            <w:tcW w:w="9639" w:type="dxa"/>
            <w:tcBorders>
              <w:top w:val="single" w:sz="4" w:space="0" w:color="auto"/>
              <w:left w:val="single" w:sz="4" w:space="0" w:color="auto"/>
              <w:bottom w:val="single" w:sz="4" w:space="0" w:color="auto"/>
              <w:right w:val="single" w:sz="4" w:space="0" w:color="auto"/>
            </w:tcBorders>
          </w:tcPr>
          <w:p w:rsidR="00007243" w:rsidRPr="0023141B" w:rsidRDefault="00007243" w:rsidP="00007243">
            <w:pPr>
              <w:pStyle w:val="ac"/>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4</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Щебень из природного камня для строительных работ марка: 800, фракция 20-40 мм</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hideMark/>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5</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Песок природный для строительных: работ средний</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6</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Портландцемент общестроительного назначения </w:t>
            </w:r>
            <w:proofErr w:type="spellStart"/>
            <w:r w:rsidRPr="008F1A14">
              <w:rPr>
                <w:rFonts w:ascii="Times New Roman" w:hAnsi="Times New Roman" w:cs="Times New Roman"/>
                <w:sz w:val="28"/>
                <w:szCs w:val="28"/>
              </w:rPr>
              <w:t>бездобавочный</w:t>
            </w:r>
            <w:proofErr w:type="spellEnd"/>
            <w:r w:rsidRPr="008F1A14">
              <w:rPr>
                <w:rFonts w:ascii="Times New Roman" w:hAnsi="Times New Roman" w:cs="Times New Roman"/>
                <w:sz w:val="28"/>
                <w:szCs w:val="28"/>
              </w:rPr>
              <w:t>, марки: 400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7</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Портландцемент общестроительного назначения с минеральными добавками (ПС-Д20), марки: 300</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8</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Раствор готовый кладочный цементный марки: 100</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9</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Раствор готовый отделочный тяжелый,: цементный 1:3</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10</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8F1A14">
              <w:rPr>
                <w:rFonts w:ascii="Times New Roman" w:hAnsi="Times New Roman" w:cs="Times New Roman"/>
                <w:sz w:val="28"/>
                <w:szCs w:val="28"/>
              </w:rPr>
              <w:t xml:space="preserve">Смесь </w:t>
            </w:r>
            <w:proofErr w:type="spellStart"/>
            <w:r w:rsidRPr="008F1A14">
              <w:rPr>
                <w:rFonts w:ascii="Times New Roman" w:hAnsi="Times New Roman" w:cs="Times New Roman"/>
                <w:sz w:val="28"/>
                <w:szCs w:val="28"/>
              </w:rPr>
              <w:t>пескоцементная</w:t>
            </w:r>
            <w:proofErr w:type="spellEnd"/>
            <w:r w:rsidRPr="008F1A14">
              <w:rPr>
                <w:rFonts w:ascii="Times New Roman" w:hAnsi="Times New Roman" w:cs="Times New Roman"/>
                <w:sz w:val="28"/>
                <w:szCs w:val="28"/>
              </w:rPr>
              <w:t xml:space="preserve"> (цемент М 400)</w:t>
            </w:r>
          </w:p>
        </w:tc>
      </w:tr>
      <w:tr w:rsidR="00007243" w:rsidRPr="0023141B" w:rsidTr="00BA1140">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11</w:t>
            </w:r>
          </w:p>
        </w:tc>
        <w:tc>
          <w:tcPr>
            <w:tcW w:w="9639" w:type="dxa"/>
            <w:tcBorders>
              <w:top w:val="single" w:sz="4" w:space="0" w:color="auto"/>
              <w:left w:val="single" w:sz="4" w:space="0" w:color="auto"/>
              <w:bottom w:val="single" w:sz="4" w:space="0" w:color="auto"/>
              <w:right w:val="single" w:sz="4" w:space="0" w:color="auto"/>
            </w:tcBorders>
          </w:tcPr>
          <w:p w:rsidR="00007243" w:rsidRPr="00BA1140"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sidRPr="00BA1140">
              <w:rPr>
                <w:rFonts w:ascii="Times New Roman" w:hAnsi="Times New Roman" w:cs="Times New Roman"/>
                <w:sz w:val="28"/>
                <w:szCs w:val="28"/>
              </w:rPr>
              <w:t>Горячекатаная арматурная сталь периодического профиля класса: А-III, диаметром 8 мм</w:t>
            </w:r>
          </w:p>
        </w:tc>
      </w:tr>
      <w:tr w:rsidR="00007243" w:rsidRPr="0023141B" w:rsidTr="00007243">
        <w:trPr>
          <w:trHeight w:val="85"/>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12</w:t>
            </w:r>
          </w:p>
        </w:tc>
        <w:tc>
          <w:tcPr>
            <w:tcW w:w="9639" w:type="dxa"/>
            <w:tcBorders>
              <w:top w:val="single" w:sz="4" w:space="0" w:color="auto"/>
              <w:left w:val="single" w:sz="4" w:space="0" w:color="auto"/>
              <w:bottom w:val="single" w:sz="4" w:space="0" w:color="auto"/>
              <w:right w:val="single" w:sz="4" w:space="0" w:color="auto"/>
            </w:tcBorders>
          </w:tcPr>
          <w:p w:rsidR="00007243" w:rsidRPr="0023141B" w:rsidRDefault="00007243" w:rsidP="00007243">
            <w:pPr>
              <w:pStyle w:val="ac"/>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w:t>
            </w:r>
            <w:r>
              <w:rPr>
                <w:rFonts w:ascii="Times New Roman" w:hAnsi="Times New Roman" w:cs="Times New Roman"/>
                <w:sz w:val="28"/>
                <w:szCs w:val="28"/>
              </w:rPr>
              <w:t>красн</w:t>
            </w:r>
            <w:r w:rsidRPr="0023141B">
              <w:rPr>
                <w:rFonts w:ascii="Times New Roman" w:hAnsi="Times New Roman" w:cs="Times New Roman"/>
                <w:sz w:val="28"/>
                <w:szCs w:val="28"/>
              </w:rPr>
              <w:t>ая)</w:t>
            </w:r>
          </w:p>
        </w:tc>
      </w:tr>
      <w:tr w:rsidR="00007243" w:rsidRPr="0023141B" w:rsidTr="00BA1140">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13</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Сетка стеклянная строительная СС-1</w:t>
            </w:r>
          </w:p>
        </w:tc>
      </w:tr>
      <w:tr w:rsidR="00007243" w:rsidRPr="0023141B" w:rsidTr="00BA5AE8">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14</w:t>
            </w:r>
          </w:p>
        </w:tc>
        <w:tc>
          <w:tcPr>
            <w:tcW w:w="9639" w:type="dxa"/>
            <w:tcBorders>
              <w:top w:val="single" w:sz="4" w:space="0" w:color="auto"/>
              <w:left w:val="single" w:sz="4" w:space="0" w:color="auto"/>
              <w:bottom w:val="single" w:sz="4" w:space="0" w:color="auto"/>
              <w:right w:val="single" w:sz="4" w:space="0" w:color="auto"/>
            </w:tcBorders>
          </w:tcPr>
          <w:p w:rsidR="00007243" w:rsidRPr="00007243" w:rsidRDefault="00007243" w:rsidP="00007243">
            <w:pPr>
              <w:widowControl w:val="0"/>
              <w:autoSpaceDE w:val="0"/>
              <w:autoSpaceDN w:val="0"/>
              <w:adjustRightInd w:val="0"/>
              <w:spacing w:before="20" w:after="20" w:line="240" w:lineRule="auto"/>
              <w:ind w:left="30" w:right="30"/>
              <w:rPr>
                <w:rFonts w:ascii="Times New Roman" w:hAnsi="Times New Roman" w:cs="Times New Roman"/>
                <w:sz w:val="28"/>
                <w:szCs w:val="28"/>
              </w:rPr>
            </w:pPr>
            <w:r>
              <w:rPr>
                <w:rFonts w:ascii="Times New Roman" w:hAnsi="Times New Roman" w:cs="Times New Roman"/>
                <w:sz w:val="28"/>
                <w:szCs w:val="28"/>
              </w:rPr>
              <w:t>Клей универсальный «</w:t>
            </w:r>
            <w:r>
              <w:rPr>
                <w:rFonts w:ascii="Times New Roman" w:hAnsi="Times New Roman" w:cs="Times New Roman"/>
                <w:sz w:val="28"/>
                <w:szCs w:val="28"/>
                <w:lang w:val="en-US"/>
              </w:rPr>
              <w:t>BOLIX WM</w:t>
            </w:r>
            <w:r>
              <w:rPr>
                <w:rFonts w:ascii="Times New Roman" w:hAnsi="Times New Roman" w:cs="Times New Roman"/>
                <w:sz w:val="28"/>
                <w:szCs w:val="28"/>
              </w:rPr>
              <w:t>»</w:t>
            </w:r>
          </w:p>
        </w:tc>
      </w:tr>
      <w:tr w:rsidR="00007243" w:rsidRPr="0023141B" w:rsidTr="00BA5AE8">
        <w:trPr>
          <w:trHeight w:val="363"/>
        </w:trPr>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15</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tabs>
                <w:tab w:val="left" w:pos="2076"/>
              </w:tabs>
              <w:autoSpaceDE w:val="0"/>
              <w:autoSpaceDN w:val="0"/>
              <w:adjustRightInd w:val="0"/>
              <w:spacing w:before="20" w:after="20" w:line="240" w:lineRule="auto"/>
              <w:ind w:left="30" w:right="30"/>
              <w:jc w:val="both"/>
              <w:rPr>
                <w:rFonts w:ascii="Times New Roman" w:hAnsi="Times New Roman" w:cs="Times New Roman"/>
                <w:sz w:val="28"/>
                <w:szCs w:val="28"/>
              </w:rPr>
            </w:pPr>
            <w:r>
              <w:rPr>
                <w:rFonts w:ascii="Times New Roman" w:hAnsi="Times New Roman" w:cs="Times New Roman"/>
                <w:sz w:val="28"/>
                <w:szCs w:val="28"/>
              </w:rPr>
              <w:t>Краски силикатные</w:t>
            </w:r>
          </w:p>
        </w:tc>
      </w:tr>
      <w:tr w:rsidR="00007243" w:rsidRPr="0023141B" w:rsidTr="00BA5AE8">
        <w:tc>
          <w:tcPr>
            <w:tcW w:w="675" w:type="dxa"/>
            <w:tcBorders>
              <w:top w:val="single" w:sz="4" w:space="0" w:color="auto"/>
              <w:left w:val="single" w:sz="4" w:space="0" w:color="auto"/>
              <w:bottom w:val="single" w:sz="4" w:space="0" w:color="auto"/>
              <w:right w:val="single" w:sz="4" w:space="0" w:color="auto"/>
            </w:tcBorders>
            <w:vAlign w:val="center"/>
          </w:tcPr>
          <w:p w:rsidR="00007243" w:rsidRPr="0023141B" w:rsidRDefault="00007243" w:rsidP="00007243">
            <w:pPr>
              <w:pStyle w:val="ac"/>
              <w:jc w:val="center"/>
              <w:rPr>
                <w:rFonts w:ascii="Times New Roman" w:hAnsi="Times New Roman" w:cs="Times New Roman"/>
                <w:sz w:val="28"/>
                <w:szCs w:val="28"/>
              </w:rPr>
            </w:pPr>
            <w:r>
              <w:rPr>
                <w:rFonts w:ascii="Times New Roman" w:hAnsi="Times New Roman" w:cs="Times New Roman"/>
                <w:sz w:val="28"/>
                <w:szCs w:val="28"/>
              </w:rPr>
              <w:t>16</w:t>
            </w:r>
          </w:p>
        </w:tc>
        <w:tc>
          <w:tcPr>
            <w:tcW w:w="9639" w:type="dxa"/>
            <w:tcBorders>
              <w:top w:val="single" w:sz="4" w:space="0" w:color="auto"/>
              <w:left w:val="single" w:sz="4" w:space="0" w:color="auto"/>
              <w:bottom w:val="single" w:sz="4" w:space="0" w:color="auto"/>
              <w:right w:val="single" w:sz="4" w:space="0" w:color="auto"/>
            </w:tcBorders>
          </w:tcPr>
          <w:p w:rsidR="00007243" w:rsidRPr="008F1A14" w:rsidRDefault="00007243" w:rsidP="00007243">
            <w:pPr>
              <w:widowControl w:val="0"/>
              <w:autoSpaceDE w:val="0"/>
              <w:autoSpaceDN w:val="0"/>
              <w:adjustRightInd w:val="0"/>
              <w:spacing w:before="20" w:after="20" w:line="240" w:lineRule="auto"/>
              <w:ind w:right="30"/>
              <w:rPr>
                <w:rFonts w:ascii="Times New Roman" w:hAnsi="Times New Roman" w:cs="Times New Roman"/>
                <w:sz w:val="28"/>
                <w:szCs w:val="28"/>
              </w:rPr>
            </w:pPr>
            <w:r>
              <w:rPr>
                <w:rFonts w:ascii="Times New Roman" w:hAnsi="Times New Roman" w:cs="Times New Roman"/>
                <w:sz w:val="28"/>
                <w:szCs w:val="28"/>
              </w:rPr>
              <w:t>Камни бортовые БР 100.20.8</w:t>
            </w:r>
          </w:p>
        </w:tc>
      </w:tr>
    </w:tbl>
    <w:p w:rsidR="009F5B8B" w:rsidRPr="009F5B8B" w:rsidRDefault="009F5B8B" w:rsidP="00971C6D">
      <w:pPr>
        <w:pStyle w:val="ac"/>
        <w:spacing w:line="240" w:lineRule="atLeast"/>
        <w:ind w:left="284"/>
        <w:jc w:val="both"/>
        <w:rPr>
          <w:rFonts w:ascii="Times New Roman" w:hAnsi="Times New Roman" w:cs="Times New Roman"/>
          <w:sz w:val="28"/>
          <w:szCs w:val="28"/>
        </w:rPr>
      </w:pP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В рамках </w:t>
      </w:r>
      <w:r w:rsidR="0047134F">
        <w:rPr>
          <w:rFonts w:ascii="Times New Roman" w:hAnsi="Times New Roman" w:cs="Times New Roman"/>
          <w:sz w:val="28"/>
          <w:szCs w:val="28"/>
        </w:rPr>
        <w:t>муниципальной программы</w:t>
      </w:r>
      <w:r w:rsidRPr="00B60C23">
        <w:rPr>
          <w:rFonts w:ascii="Times New Roman" w:hAnsi="Times New Roman" w:cs="Times New Roman"/>
          <w:sz w:val="28"/>
          <w:szCs w:val="28"/>
        </w:rPr>
        <w:t xml:space="preserve">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Формирование</w:t>
      </w:r>
      <w:r w:rsidR="0047134F">
        <w:rPr>
          <w:rFonts w:ascii="Times New Roman" w:hAnsi="Times New Roman" w:cs="Times New Roman"/>
          <w:sz w:val="28"/>
          <w:szCs w:val="28"/>
        </w:rPr>
        <w:t xml:space="preserve"> современной</w:t>
      </w:r>
      <w:r w:rsidR="00FD50F0" w:rsidRPr="00FD50F0">
        <w:rPr>
          <w:rFonts w:ascii="Times New Roman" w:hAnsi="Times New Roman" w:cs="Times New Roman"/>
          <w:sz w:val="28"/>
          <w:szCs w:val="28"/>
        </w:rPr>
        <w:t xml:space="preserve"> </w:t>
      </w:r>
      <w:r w:rsidR="008E2EE1">
        <w:rPr>
          <w:rFonts w:ascii="Times New Roman" w:hAnsi="Times New Roman" w:cs="Times New Roman"/>
          <w:sz w:val="28"/>
          <w:szCs w:val="28"/>
        </w:rPr>
        <w:t>городской среды</w:t>
      </w:r>
      <w:r w:rsidR="00FD50F0" w:rsidRPr="00FD50F0">
        <w:rPr>
          <w:rFonts w:ascii="Times New Roman" w:hAnsi="Times New Roman" w:cs="Times New Roman"/>
          <w:sz w:val="28"/>
          <w:szCs w:val="28"/>
        </w:rPr>
        <w:t xml:space="preserve"> городского округа «Город Калининград </w:t>
      </w:r>
      <w:r w:rsidRPr="00B60C23">
        <w:rPr>
          <w:rFonts w:ascii="Times New Roman" w:hAnsi="Times New Roman" w:cs="Times New Roman"/>
          <w:sz w:val="28"/>
          <w:szCs w:val="28"/>
        </w:rPr>
        <w:t xml:space="preserve">",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w:t>
      </w:r>
      <w:r w:rsidRPr="00B60C23">
        <w:rPr>
          <w:rFonts w:ascii="Times New Roman" w:hAnsi="Times New Roman" w:cs="Times New Roman"/>
          <w:sz w:val="28"/>
          <w:szCs w:val="28"/>
        </w:rPr>
        <w:lastRenderedPageBreak/>
        <w:t>требования нормативных документов по технике безопасности, промышленной санитарии, по охране природной среды.</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c"/>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 xml:space="preserve">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w:t>
      </w:r>
      <w:r w:rsidRPr="00453077">
        <w:rPr>
          <w:rFonts w:ascii="Times New Roman" w:hAnsi="Times New Roman"/>
          <w:color w:val="000000"/>
          <w:sz w:val="28"/>
          <w:szCs w:val="28"/>
          <w:shd w:val="clear" w:color="auto" w:fill="FFFFFF"/>
          <w:lang w:eastAsia="ru-RU"/>
        </w:rPr>
        <w:lastRenderedPageBreak/>
        <w:t>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 xml:space="preserve">1. Подрядчик до начала производства ремонтных работ предоставляет Техническому заказчику (Заказчику) 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«КР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«КР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r w:rsidR="00BA5AE8">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A5AE8">
        <w:rPr>
          <w:rFonts w:ascii="Times New Roman" w:hAnsi="Times New Roman"/>
          <w:sz w:val="28"/>
          <w:szCs w:val="28"/>
        </w:rPr>
        <w:t xml:space="preserve">     Е</w:t>
      </w:r>
      <w:r>
        <w:rPr>
          <w:rFonts w:ascii="Times New Roman" w:hAnsi="Times New Roman"/>
          <w:sz w:val="28"/>
          <w:szCs w:val="28"/>
        </w:rPr>
        <w:t>.</w:t>
      </w:r>
      <w:r w:rsidR="00BA5AE8">
        <w:rPr>
          <w:rFonts w:ascii="Times New Roman" w:hAnsi="Times New Roman"/>
          <w:sz w:val="28"/>
          <w:szCs w:val="28"/>
        </w:rPr>
        <w:t>Н</w:t>
      </w:r>
      <w:r>
        <w:rPr>
          <w:rFonts w:ascii="Times New Roman" w:hAnsi="Times New Roman"/>
          <w:sz w:val="28"/>
          <w:szCs w:val="28"/>
        </w:rPr>
        <w:t xml:space="preserve">. </w:t>
      </w:r>
      <w:r w:rsidR="00BA5AE8">
        <w:rPr>
          <w:rFonts w:ascii="Times New Roman" w:hAnsi="Times New Roman"/>
          <w:sz w:val="28"/>
          <w:szCs w:val="28"/>
        </w:rPr>
        <w:t>Сметанина</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A7788B" w:rsidP="00151604">
      <w:pPr>
        <w:spacing w:after="0" w:line="240" w:lineRule="auto"/>
        <w:rPr>
          <w:rFonts w:ascii="Times New Roman" w:hAnsi="Times New Roman"/>
          <w:sz w:val="28"/>
          <w:szCs w:val="28"/>
        </w:rPr>
      </w:pPr>
      <w:r>
        <w:rPr>
          <w:rFonts w:ascii="Times New Roman" w:hAnsi="Times New Roman"/>
          <w:sz w:val="28"/>
          <w:szCs w:val="28"/>
        </w:rPr>
        <w:t>Н</w:t>
      </w:r>
      <w:r w:rsidR="00151604">
        <w:rPr>
          <w:rFonts w:ascii="Times New Roman" w:hAnsi="Times New Roman"/>
          <w:sz w:val="28"/>
          <w:szCs w:val="28"/>
        </w:rPr>
        <w:t>ачальник отдела контроля</w:t>
      </w:r>
    </w:p>
    <w:p w:rsidR="00BB3C1B" w:rsidRPr="00BB3C1B" w:rsidRDefault="00151604" w:rsidP="00007243">
      <w:pPr>
        <w:spacing w:after="0" w:line="240" w:lineRule="auto"/>
        <w:rPr>
          <w:rFonts w:ascii="Times New Roman" w:hAnsi="Times New Roman" w:cs="Times New Roman"/>
          <w:sz w:val="28"/>
          <w:szCs w:val="28"/>
        </w:rPr>
      </w:pPr>
      <w:r>
        <w:rPr>
          <w:rFonts w:ascii="Times New Roman" w:hAnsi="Times New Roman"/>
          <w:sz w:val="28"/>
          <w:szCs w:val="28"/>
        </w:rPr>
        <w:t>МКУ «КР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Pr>
          <w:rFonts w:ascii="Times New Roman" w:hAnsi="Times New Roman"/>
          <w:sz w:val="28"/>
          <w:szCs w:val="28"/>
        </w:rPr>
        <w:t xml:space="preserve">  </w:t>
      </w:r>
      <w:r w:rsidR="00A7788B">
        <w:rPr>
          <w:rFonts w:ascii="Times New Roman" w:hAnsi="Times New Roman"/>
          <w:sz w:val="28"/>
          <w:szCs w:val="28"/>
        </w:rPr>
        <w:t xml:space="preserve">Г.Н. </w:t>
      </w:r>
      <w:proofErr w:type="spellStart"/>
      <w:r w:rsidR="00A7788B">
        <w:rPr>
          <w:rFonts w:ascii="Times New Roman" w:hAnsi="Times New Roman"/>
          <w:sz w:val="28"/>
          <w:szCs w:val="28"/>
        </w:rPr>
        <w:t>Рябкова</w:t>
      </w:r>
      <w:proofErr w:type="spellEnd"/>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07243"/>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51604"/>
    <w:rsid w:val="00180F82"/>
    <w:rsid w:val="00181F82"/>
    <w:rsid w:val="00185C8E"/>
    <w:rsid w:val="0019035E"/>
    <w:rsid w:val="001B2F82"/>
    <w:rsid w:val="001C14DA"/>
    <w:rsid w:val="001D02D6"/>
    <w:rsid w:val="001D4D5F"/>
    <w:rsid w:val="001D55B2"/>
    <w:rsid w:val="001E0655"/>
    <w:rsid w:val="00201D1E"/>
    <w:rsid w:val="00207C60"/>
    <w:rsid w:val="0021759D"/>
    <w:rsid w:val="002179D1"/>
    <w:rsid w:val="002276E7"/>
    <w:rsid w:val="00227805"/>
    <w:rsid w:val="0023141B"/>
    <w:rsid w:val="00232C08"/>
    <w:rsid w:val="0023537E"/>
    <w:rsid w:val="002372B3"/>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34F"/>
    <w:rsid w:val="00471E6B"/>
    <w:rsid w:val="0047530F"/>
    <w:rsid w:val="00481B85"/>
    <w:rsid w:val="00485C43"/>
    <w:rsid w:val="004B41CA"/>
    <w:rsid w:val="004C1BCF"/>
    <w:rsid w:val="004D4E65"/>
    <w:rsid w:val="004D75A2"/>
    <w:rsid w:val="0050731B"/>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5077"/>
    <w:rsid w:val="005D6EBA"/>
    <w:rsid w:val="005F58BC"/>
    <w:rsid w:val="005F7F68"/>
    <w:rsid w:val="006018CB"/>
    <w:rsid w:val="00603449"/>
    <w:rsid w:val="006204A5"/>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0D26"/>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608E"/>
    <w:rsid w:val="008A781F"/>
    <w:rsid w:val="008B0B22"/>
    <w:rsid w:val="008B3910"/>
    <w:rsid w:val="008D04F2"/>
    <w:rsid w:val="008D5222"/>
    <w:rsid w:val="008E02EB"/>
    <w:rsid w:val="008E2EE1"/>
    <w:rsid w:val="008E34F2"/>
    <w:rsid w:val="008F1A14"/>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210D"/>
    <w:rsid w:val="00AD620D"/>
    <w:rsid w:val="00AE1462"/>
    <w:rsid w:val="00AF0218"/>
    <w:rsid w:val="00AF0DB6"/>
    <w:rsid w:val="00B00E85"/>
    <w:rsid w:val="00B06328"/>
    <w:rsid w:val="00B06B0F"/>
    <w:rsid w:val="00B1398B"/>
    <w:rsid w:val="00B20FD9"/>
    <w:rsid w:val="00B224AE"/>
    <w:rsid w:val="00B42DA7"/>
    <w:rsid w:val="00B60C23"/>
    <w:rsid w:val="00B73E39"/>
    <w:rsid w:val="00B75076"/>
    <w:rsid w:val="00B87168"/>
    <w:rsid w:val="00B90785"/>
    <w:rsid w:val="00B926C9"/>
    <w:rsid w:val="00B93247"/>
    <w:rsid w:val="00BA1140"/>
    <w:rsid w:val="00BA3B94"/>
    <w:rsid w:val="00BA5AE8"/>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848C8"/>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4018"/>
    <w:rsid w:val="00E26D4F"/>
    <w:rsid w:val="00E31166"/>
    <w:rsid w:val="00E333C4"/>
    <w:rsid w:val="00E37250"/>
    <w:rsid w:val="00E70753"/>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335B"/>
    <w:rsid w:val="00F97F90"/>
    <w:rsid w:val="00FA0F4F"/>
    <w:rsid w:val="00FA595C"/>
    <w:rsid w:val="00FA6C61"/>
    <w:rsid w:val="00FB42B4"/>
    <w:rsid w:val="00FB6A95"/>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0">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1">
    <w:name w:val="Название1"/>
    <w:basedOn w:val="a"/>
    <w:uiPriority w:val="99"/>
    <w:rsid w:val="004644D9"/>
    <w:pPr>
      <w:suppressLineNumbers/>
      <w:spacing w:before="120" w:after="120"/>
    </w:pPr>
    <w:rPr>
      <w:rFonts w:cs="Mangal"/>
      <w:i/>
      <w:iCs/>
      <w:sz w:val="24"/>
      <w:szCs w:val="24"/>
    </w:rPr>
  </w:style>
  <w:style w:type="paragraph" w:customStyle="1" w:styleId="12">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3"/>
    <w:uiPriority w:val="99"/>
    <w:rsid w:val="004644D9"/>
    <w:pPr>
      <w:spacing w:after="0" w:line="240" w:lineRule="auto"/>
    </w:pPr>
    <w:rPr>
      <w:rFonts w:ascii="Tahoma" w:hAnsi="Tahoma" w:cs="Tahoma"/>
      <w:sz w:val="16"/>
      <w:szCs w:val="16"/>
    </w:rPr>
  </w:style>
  <w:style w:type="character" w:customStyle="1" w:styleId="13">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4">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0">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1">
    <w:name w:val="Название1"/>
    <w:basedOn w:val="a"/>
    <w:uiPriority w:val="99"/>
    <w:rsid w:val="004644D9"/>
    <w:pPr>
      <w:suppressLineNumbers/>
      <w:spacing w:before="120" w:after="120"/>
    </w:pPr>
    <w:rPr>
      <w:rFonts w:cs="Mangal"/>
      <w:i/>
      <w:iCs/>
      <w:sz w:val="24"/>
      <w:szCs w:val="24"/>
    </w:rPr>
  </w:style>
  <w:style w:type="paragraph" w:customStyle="1" w:styleId="12">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3"/>
    <w:uiPriority w:val="99"/>
    <w:rsid w:val="004644D9"/>
    <w:pPr>
      <w:spacing w:after="0" w:line="240" w:lineRule="auto"/>
    </w:pPr>
    <w:rPr>
      <w:rFonts w:ascii="Tahoma" w:hAnsi="Tahoma" w:cs="Tahoma"/>
      <w:sz w:val="16"/>
      <w:szCs w:val="16"/>
    </w:rPr>
  </w:style>
  <w:style w:type="character" w:customStyle="1" w:styleId="13">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4">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914F4-400C-43D0-814F-04E420126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cp:lastModifiedBy>
  <cp:revision>2</cp:revision>
  <cp:lastPrinted>2018-02-28T07:51:00Z</cp:lastPrinted>
  <dcterms:created xsi:type="dcterms:W3CDTF">2018-09-24T15:13:00Z</dcterms:created>
  <dcterms:modified xsi:type="dcterms:W3CDTF">2018-09-24T15:13:00Z</dcterms:modified>
</cp:coreProperties>
</file>