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406595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E9367E" w:rsidP="00E9367E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595"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="00406595" w:rsidRPr="00BC68CF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406595" w:rsidRPr="00BC68CF">
        <w:rPr>
          <w:rFonts w:ascii="Times New Roman" w:hAnsi="Times New Roman"/>
          <w:sz w:val="24"/>
          <w:szCs w:val="24"/>
        </w:rPr>
        <w:t>Р</w:t>
      </w:r>
      <w:proofErr w:type="gramEnd"/>
      <w:r w:rsidR="00406595"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E9367E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BC68CF">
        <w:rPr>
          <w:rFonts w:ascii="Times New Roman" w:hAnsi="Times New Roman"/>
          <w:sz w:val="24"/>
          <w:szCs w:val="24"/>
        </w:rPr>
        <w:t xml:space="preserve"> </w:t>
      </w:r>
    </w:p>
    <w:p w:rsidR="00725AF9" w:rsidRPr="009E1CFA" w:rsidRDefault="00406595" w:rsidP="009E1CFA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E9367E">
        <w:rPr>
          <w:rFonts w:ascii="Times New Roman" w:hAnsi="Times New Roman"/>
          <w:sz w:val="24"/>
          <w:szCs w:val="24"/>
        </w:rPr>
        <w:tab/>
      </w: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255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7177DA">
        <w:rPr>
          <w:rFonts w:ascii="Times New Roman" w:hAnsi="Times New Roman"/>
          <w:color w:val="000000"/>
          <w:sz w:val="28"/>
          <w:szCs w:val="28"/>
        </w:rPr>
        <w:t>крыши</w:t>
      </w:r>
      <w:r w:rsidR="007177DA">
        <w:rPr>
          <w:rFonts w:ascii="Times New Roman" w:hAnsi="Times New Roman"/>
          <w:sz w:val="28"/>
          <w:szCs w:val="28"/>
        </w:rPr>
        <w:t xml:space="preserve">, </w:t>
      </w:r>
      <w:r w:rsidR="007177DA">
        <w:rPr>
          <w:rFonts w:ascii="Times New Roman" w:hAnsi="Times New Roman"/>
          <w:color w:val="000000"/>
          <w:sz w:val="28"/>
          <w:szCs w:val="28"/>
        </w:rPr>
        <w:t xml:space="preserve">фасада </w:t>
      </w:r>
      <w:r w:rsidR="007177DA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="007177DA">
        <w:rPr>
          <w:rFonts w:ascii="Times New Roman" w:hAnsi="Times New Roman"/>
          <w:color w:val="000000"/>
          <w:sz w:val="28"/>
          <w:szCs w:val="28"/>
        </w:rPr>
        <w:t>утеплени</w:t>
      </w:r>
      <w:r w:rsidR="007177DA">
        <w:rPr>
          <w:rFonts w:ascii="Times New Roman" w:hAnsi="Times New Roman"/>
          <w:color w:val="000000"/>
          <w:sz w:val="28"/>
          <w:szCs w:val="28"/>
        </w:rPr>
        <w:t>я</w:t>
      </w:r>
      <w:r w:rsidR="007177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77DA">
        <w:rPr>
          <w:rFonts w:ascii="Times New Roman" w:hAnsi="Times New Roman"/>
          <w:color w:val="000000"/>
          <w:sz w:val="28"/>
          <w:szCs w:val="28"/>
        </w:rPr>
        <w:t xml:space="preserve">подвальных помещений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>по адресу:</w:t>
      </w:r>
      <w:r w:rsidR="00255A4E">
        <w:rPr>
          <w:rFonts w:ascii="Times New Roman" w:hAnsi="Times New Roman"/>
          <w:sz w:val="28"/>
          <w:szCs w:val="28"/>
        </w:rPr>
        <w:t xml:space="preserve"> </w:t>
      </w:r>
      <w:r w:rsidR="007177DA">
        <w:rPr>
          <w:rFonts w:ascii="Times New Roman" w:hAnsi="Times New Roman"/>
          <w:sz w:val="28"/>
          <w:szCs w:val="28"/>
        </w:rPr>
        <w:t xml:space="preserve">                              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 w:rsidR="00717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Киевская, д. 92-94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7177D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7177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>Киевская, д. 92-94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Default="00725AF9" w:rsidP="007177DA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7177D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Киевская, д. 92-94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>ремонт крыши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 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утеплени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255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55A4E" w:rsidRPr="00406595" w:rsidRDefault="00255A4E" w:rsidP="0071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>ремонт подвальных помещений</w:t>
            </w:r>
            <w:r w:rsidR="00717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55A4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7177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471B6" w:rsidRPr="00E730F6" w:rsidRDefault="009471B6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700F7F">
        <w:trPr>
          <w:trHeight w:val="2674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700F7F">
        <w:trPr>
          <w:trHeight w:val="3689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471B6" w:rsidRPr="00A372B9" w:rsidRDefault="00673E13" w:rsidP="009471B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9471B6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471B6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471B6" w:rsidRPr="00A372B9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9A7AEB" w:rsidRPr="00A372B9" w:rsidRDefault="00673E13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  <w:tr w:rsidR="009471B6" w:rsidTr="00700F7F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9C020F" w:rsidRDefault="009C020F" w:rsidP="007177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08DB" w:rsidRDefault="009A7AEB" w:rsidP="00717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7177DA" w:rsidRPr="007177DA" w:rsidRDefault="007177DA" w:rsidP="00717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Металлочерепица «Монтерей», либо аналог, толщиной листа не менее 0,55 мм с полимерным покрытием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7DA">
              <w:rPr>
                <w:rFonts w:ascii="Times New Roman" w:hAnsi="Times New Roman"/>
                <w:sz w:val="24"/>
                <w:szCs w:val="24"/>
              </w:rPr>
              <w:t>Доски необрезные хвойных пород, толщиной не менее 25 мм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7DA">
              <w:rPr>
                <w:rFonts w:ascii="Times New Roman" w:hAnsi="Times New Roman"/>
                <w:sz w:val="24"/>
                <w:szCs w:val="24"/>
              </w:rPr>
              <w:t>Доски обрезные хвойных пород, толщиной не менее 25 мм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Доска обрезная размером 50х150 мм и 50х100 мм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7DA">
              <w:rPr>
                <w:rFonts w:ascii="Times New Roman" w:hAnsi="Times New Roman"/>
                <w:sz w:val="24"/>
                <w:szCs w:val="24"/>
              </w:rPr>
              <w:t>Брус обрезной размером 100х150 мм и 150х150 мм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Бруски обрезные размером не менее 50х50 мм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7DA">
              <w:rPr>
                <w:rFonts w:ascii="Times New Roman" w:hAnsi="Times New Roman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подкровельная антиконденсатная (гидроизоляционная) типа ЮТАКОН, либо аналог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71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пароизоляционная ЮТАФОЛ (3-х слойная полиэтиленовая с армированным слоем из полиэтиленовых полос), либо аналог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316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AFA">
              <w:rPr>
                <w:rFonts w:ascii="Times New Roman" w:hAnsi="Times New Roman"/>
                <w:sz w:val="24"/>
                <w:szCs w:val="24"/>
              </w:rPr>
              <w:t>Вата минеральная ISOVER</w:t>
            </w:r>
            <w:r w:rsidR="007177DA" w:rsidRPr="00316AFA">
              <w:rPr>
                <w:rFonts w:ascii="Times New Roman" w:hAnsi="Times New Roman"/>
                <w:sz w:val="24"/>
                <w:szCs w:val="24"/>
              </w:rPr>
              <w:t>, толщин</w:t>
            </w:r>
            <w:r w:rsidRPr="00316AF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7177DA" w:rsidRPr="00316AFA">
              <w:rPr>
                <w:rFonts w:ascii="Times New Roman" w:hAnsi="Times New Roman"/>
                <w:sz w:val="24"/>
                <w:szCs w:val="24"/>
              </w:rPr>
              <w:t>50 мм</w:t>
            </w:r>
            <w:r w:rsidRPr="00316AFA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71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Кирпич керамический одинарный М 150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7177DA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Снегозадержание по расчету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76">
              <w:rPr>
                <w:rFonts w:ascii="Times New Roman" w:hAnsi="Times New Roman"/>
                <w:sz w:val="24"/>
                <w:szCs w:val="24"/>
              </w:rPr>
              <w:t>Сталь</w:t>
            </w:r>
            <w:proofErr w:type="gramEnd"/>
            <w:r w:rsidRPr="00903376">
              <w:rPr>
                <w:rFonts w:ascii="Times New Roman" w:hAnsi="Times New Roman"/>
                <w:sz w:val="24"/>
                <w:szCs w:val="24"/>
              </w:rPr>
              <w:t xml:space="preserve"> оцинкованная в рулонах толщиной 0,5 мм, с полимерным покрытием</w:t>
            </w:r>
          </w:p>
        </w:tc>
      </w:tr>
      <w:tr w:rsidR="007177DA" w:rsidRPr="00903376" w:rsidTr="007177D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316AFA" w:rsidRDefault="00316AFA" w:rsidP="00076C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A" w:rsidRPr="00903376" w:rsidRDefault="007177DA" w:rsidP="0007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листовая оцинкованная толщиной листа 0,7 мм</w:t>
            </w:r>
          </w:p>
        </w:tc>
      </w:tr>
      <w:tr w:rsidR="009E1CF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E1CFA" w:rsidRDefault="009E1CF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E1CFA" w:rsidRDefault="009E1CF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1CFA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9C6E11">
              <w:rPr>
                <w:rFonts w:ascii="Times New Roman" w:hAnsi="Times New Roman"/>
                <w:sz w:val="24"/>
                <w:szCs w:val="24"/>
              </w:rPr>
              <w:t>0,5 м</w:t>
            </w:r>
            <w:proofErr w:type="gramStart"/>
            <w:r w:rsidR="009C6E1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9C6E11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r w:rsidRPr="009E1CF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9C6E11" w:rsidRDefault="009C6E1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E11">
              <w:rPr>
                <w:rFonts w:ascii="Times New Roman" w:hAnsi="Times New Roman"/>
                <w:sz w:val="24"/>
                <w:szCs w:val="24"/>
              </w:rPr>
              <w:t>Блок оконный пластиковый трехстворчатый, с поворотно-откидной створкой, однокамерным стеклопакетом (24 мм), площадью до 2 м</w:t>
            </w:r>
            <w:proofErr w:type="gramStart"/>
            <w:r w:rsidRPr="009C6E1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9B4066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6" w:rsidRDefault="009B4066" w:rsidP="009C6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6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6" w:rsidRPr="009B4066" w:rsidRDefault="009B406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перхлорвиниловая</w:t>
            </w:r>
          </w:p>
        </w:tc>
      </w:tr>
      <w:tr w:rsidR="009E1CF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Default="009B4066" w:rsidP="009C6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6E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B4066" w:rsidRDefault="009B406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066">
              <w:rPr>
                <w:rFonts w:ascii="Times New Roman" w:hAnsi="Times New Roman"/>
                <w:sz w:val="24"/>
                <w:szCs w:val="24"/>
              </w:rPr>
              <w:t>Грунтовка воднодисперсионная CERESIT CT 17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9E1CF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Default="009C6E11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B4066" w:rsidRDefault="009B406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066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"BOLIX WM"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9E1CF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Default="009C6E11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E1CFA" w:rsidRDefault="009B406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Цементно-известковый раствор</w:t>
            </w:r>
          </w:p>
        </w:tc>
      </w:tr>
      <w:tr w:rsidR="009E1CF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Default="009C6E11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FA" w:rsidRPr="009E1CFA" w:rsidRDefault="009B406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акриловая</w:t>
            </w:r>
          </w:p>
        </w:tc>
      </w:tr>
      <w:tr w:rsidR="004C3749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9" w:rsidRDefault="004C3749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9" w:rsidRPr="009C6E11" w:rsidRDefault="004C3749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</w:tr>
      <w:tr w:rsidR="000A364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E1CFA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C6E11" w:rsidRDefault="009C6E1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E11">
              <w:rPr>
                <w:rFonts w:ascii="Times New Roman" w:hAnsi="Times New Roman"/>
                <w:sz w:val="24"/>
                <w:szCs w:val="24"/>
              </w:rPr>
              <w:t>Доски подоконные ПВХ, шириной 350 мм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9C6E11" w:rsidRDefault="009C6E11" w:rsidP="009C6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Бетон тяжелый, класс В12,5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F812A1" w:rsidRDefault="009C6E11" w:rsidP="009969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5(3)-10 мм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F812A1" w:rsidRDefault="009C6E11" w:rsidP="009969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20-40 мм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F812A1" w:rsidRDefault="009C6E11" w:rsidP="00996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40-70 мм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9C6E11" w:rsidP="004C3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9C6E11" w:rsidRDefault="009C6E1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растворов средний</w:t>
            </w:r>
          </w:p>
        </w:tc>
      </w:tr>
      <w:tr w:rsidR="009C6E11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Default="004C3749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4C3749" w:rsidRDefault="004C3749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749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1,8 мм без покрытия, 50х50 мм</w:t>
            </w:r>
          </w:p>
        </w:tc>
      </w:tr>
      <w:tr w:rsidR="009C6E11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4C3749" w:rsidRDefault="004C3749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11" w:rsidRPr="004C3749" w:rsidRDefault="004C3749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749">
              <w:rPr>
                <w:rFonts w:ascii="Times New Roman" w:hAnsi="Times New Roman"/>
                <w:sz w:val="24"/>
                <w:szCs w:val="24"/>
              </w:rPr>
              <w:t>Сетка стеклянная строительная СС-1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551FF5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F5" w:rsidRPr="004C3749" w:rsidRDefault="00551FF5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F5" w:rsidRPr="00903376" w:rsidRDefault="00551FF5" w:rsidP="005575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Мастика Битуминоль, либо аналог</w:t>
            </w:r>
          </w:p>
        </w:tc>
      </w:tr>
      <w:tr w:rsidR="00551FF5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F5" w:rsidRPr="004C3749" w:rsidRDefault="00551FF5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F5" w:rsidRPr="00903376" w:rsidRDefault="00551FF5" w:rsidP="0055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Гидроизол, либо аналог</w:t>
            </w:r>
          </w:p>
        </w:tc>
      </w:tr>
    </w:tbl>
    <w:p w:rsidR="006D2B17" w:rsidRDefault="006D2B17" w:rsidP="00DF6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551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551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700F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25AF9" w:rsidRDefault="00725AF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3E13" w:rsidRPr="00761A7F" w:rsidRDefault="00673E1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673E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16AFA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C3749"/>
    <w:rsid w:val="004E09F2"/>
    <w:rsid w:val="0050709A"/>
    <w:rsid w:val="00544DD0"/>
    <w:rsid w:val="00551FF5"/>
    <w:rsid w:val="0057241D"/>
    <w:rsid w:val="005A23C4"/>
    <w:rsid w:val="005B32C3"/>
    <w:rsid w:val="0062088E"/>
    <w:rsid w:val="00673E13"/>
    <w:rsid w:val="00677BF8"/>
    <w:rsid w:val="006859E1"/>
    <w:rsid w:val="006A08DB"/>
    <w:rsid w:val="006D2B17"/>
    <w:rsid w:val="00700F7F"/>
    <w:rsid w:val="007177DA"/>
    <w:rsid w:val="00721FD9"/>
    <w:rsid w:val="00725AF9"/>
    <w:rsid w:val="007527C0"/>
    <w:rsid w:val="00757AEB"/>
    <w:rsid w:val="00761A7F"/>
    <w:rsid w:val="007710FE"/>
    <w:rsid w:val="00777BA3"/>
    <w:rsid w:val="007A5B1A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903376"/>
    <w:rsid w:val="009200D6"/>
    <w:rsid w:val="009216E3"/>
    <w:rsid w:val="00937D33"/>
    <w:rsid w:val="009471B6"/>
    <w:rsid w:val="0096052D"/>
    <w:rsid w:val="0099034F"/>
    <w:rsid w:val="0099346E"/>
    <w:rsid w:val="009935BF"/>
    <w:rsid w:val="009A5B44"/>
    <w:rsid w:val="009A7AEB"/>
    <w:rsid w:val="009B4066"/>
    <w:rsid w:val="009C020F"/>
    <w:rsid w:val="009C6E11"/>
    <w:rsid w:val="009E1CFA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B38D0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7BC"/>
    <w:rsid w:val="00DF6FF7"/>
    <w:rsid w:val="00E51BD7"/>
    <w:rsid w:val="00E9367E"/>
    <w:rsid w:val="00EA72B9"/>
    <w:rsid w:val="00EC37DB"/>
    <w:rsid w:val="00EE6BA4"/>
    <w:rsid w:val="00F32890"/>
    <w:rsid w:val="00F4371A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6DB7-C4E9-453C-BEB9-0D8E5FB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9</cp:revision>
  <cp:lastPrinted>2015-07-22T13:01:00Z</cp:lastPrinted>
  <dcterms:created xsi:type="dcterms:W3CDTF">2015-03-30T08:41:00Z</dcterms:created>
  <dcterms:modified xsi:type="dcterms:W3CDTF">2015-07-22T13:02:00Z</dcterms:modified>
</cp:coreProperties>
</file>